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0B83C" w14:textId="77777777" w:rsidR="00A308BD" w:rsidRDefault="00A308BD"/>
    <w:p w14:paraId="6F08C6A3" w14:textId="77777777" w:rsidR="005B05DF" w:rsidRDefault="005B05DF"/>
    <w:p w14:paraId="3EB94A2F" w14:textId="77777777" w:rsidR="005B05DF" w:rsidRDefault="005B05DF"/>
    <w:p w14:paraId="655FC75C" w14:textId="77777777" w:rsidR="005B05DF" w:rsidRDefault="005B05DF"/>
    <w:p w14:paraId="62EEB36A" w14:textId="77777777" w:rsidR="00485DA3" w:rsidRDefault="00373D9B" w:rsidP="00485DA3">
      <w:pPr>
        <w:jc w:val="center"/>
        <w:rPr>
          <w:rFonts w:cstheme="minorHAnsi"/>
          <w:b/>
          <w:sz w:val="96"/>
          <w:szCs w:val="56"/>
        </w:rPr>
      </w:pPr>
      <w:r>
        <w:rPr>
          <w:rFonts w:cstheme="minorHAnsi"/>
          <w:b/>
          <w:sz w:val="96"/>
          <w:szCs w:val="56"/>
        </w:rPr>
        <w:t>Prevent</w:t>
      </w:r>
      <w:r w:rsidR="00485DA3">
        <w:rPr>
          <w:rFonts w:cstheme="minorHAnsi"/>
          <w:b/>
          <w:sz w:val="96"/>
          <w:szCs w:val="56"/>
        </w:rPr>
        <w:t xml:space="preserve"> </w:t>
      </w:r>
    </w:p>
    <w:p w14:paraId="341EF7F2" w14:textId="2829B418" w:rsidR="005B05DF" w:rsidRDefault="00485DA3" w:rsidP="00485DA3">
      <w:pPr>
        <w:jc w:val="center"/>
        <w:rPr>
          <w:rFonts w:cstheme="minorHAnsi"/>
          <w:b/>
          <w:sz w:val="96"/>
          <w:szCs w:val="56"/>
        </w:rPr>
      </w:pPr>
      <w:r>
        <w:rPr>
          <w:rFonts w:cstheme="minorHAnsi"/>
          <w:b/>
          <w:sz w:val="96"/>
          <w:szCs w:val="56"/>
        </w:rPr>
        <w:t>Strategy</w:t>
      </w:r>
    </w:p>
    <w:p w14:paraId="6B4EB673" w14:textId="284619F3" w:rsidR="00F808D7" w:rsidRDefault="00F808D7" w:rsidP="00485DA3">
      <w:pPr>
        <w:jc w:val="center"/>
        <w:rPr>
          <w:rFonts w:cstheme="minorHAnsi"/>
          <w:b/>
          <w:sz w:val="32"/>
          <w:szCs w:val="32"/>
        </w:rPr>
      </w:pPr>
      <w:r>
        <w:rPr>
          <w:rFonts w:cstheme="minorHAnsi"/>
          <w:b/>
          <w:sz w:val="32"/>
          <w:szCs w:val="32"/>
        </w:rPr>
        <w:t>Richard Taylor Church of England Primary School</w:t>
      </w:r>
    </w:p>
    <w:p w14:paraId="15DA1607" w14:textId="5B744A85" w:rsidR="005B05DF" w:rsidRPr="002C39C9" w:rsidRDefault="00980BD4" w:rsidP="002C39C9">
      <w:pPr>
        <w:jc w:val="center"/>
        <w:rPr>
          <w:rFonts w:cstheme="minorHAnsi"/>
          <w:b/>
          <w:sz w:val="28"/>
          <w:szCs w:val="28"/>
        </w:rPr>
      </w:pPr>
      <w:r>
        <w:rPr>
          <w:rFonts w:cstheme="minorHAnsi"/>
          <w:b/>
          <w:sz w:val="28"/>
          <w:szCs w:val="28"/>
        </w:rPr>
        <w:t>‘Where every child is safe loved and can flourish as a child of God’</w:t>
      </w:r>
    </w:p>
    <w:p w14:paraId="6A8BC223" w14:textId="77777777" w:rsidR="005B05DF" w:rsidRPr="00776DC9" w:rsidRDefault="005B05DF" w:rsidP="005B05DF">
      <w:pPr>
        <w:jc w:val="center"/>
        <w:rPr>
          <w:rFonts w:ascii="Tahoma" w:hAnsi="Tahoma" w:cs="Tahoma"/>
          <w:b/>
          <w:szCs w:val="24"/>
        </w:rPr>
      </w:pPr>
    </w:p>
    <w:p w14:paraId="0EA3B061" w14:textId="77777777" w:rsidR="005B05DF" w:rsidRPr="00776DC9" w:rsidRDefault="005B05DF" w:rsidP="005B05DF">
      <w:pPr>
        <w:jc w:val="center"/>
        <w:rPr>
          <w:rFonts w:ascii="Tahoma" w:hAnsi="Tahoma" w:cs="Tahoma"/>
          <w:b/>
          <w:szCs w:val="24"/>
        </w:rPr>
      </w:pPr>
    </w:p>
    <w:p w14:paraId="38B22FC9" w14:textId="77777777" w:rsidR="005B05DF" w:rsidRPr="00776DC9" w:rsidRDefault="005B05DF" w:rsidP="005B05DF">
      <w:pPr>
        <w:rPr>
          <w:rFonts w:cstheme="minorHAnsi"/>
          <w:b/>
          <w:szCs w:val="24"/>
        </w:rPr>
      </w:pPr>
      <w:r w:rsidRPr="00776DC9">
        <w:rPr>
          <w:rFonts w:cstheme="minorHAnsi"/>
          <w:b/>
          <w:szCs w:val="24"/>
        </w:rPr>
        <w:t xml:space="preserve">History of document: To be reviewed annually and re-approved </w:t>
      </w:r>
      <w:r w:rsidR="00994515" w:rsidRPr="00776DC9">
        <w:rPr>
          <w:rFonts w:cstheme="minorHAnsi"/>
          <w:b/>
          <w:szCs w:val="24"/>
        </w:rPr>
        <w:t xml:space="preserve">by the Trust Board </w:t>
      </w:r>
      <w:r w:rsidRPr="00776DC9">
        <w:rPr>
          <w:rFonts w:cstheme="minorHAnsi"/>
          <w:b/>
          <w:szCs w:val="24"/>
        </w:rPr>
        <w:t>every three years, or sooner if deemed necessary.</w:t>
      </w:r>
    </w:p>
    <w:tbl>
      <w:tblPr>
        <w:tblStyle w:val="TableGrid"/>
        <w:tblW w:w="9021" w:type="dxa"/>
        <w:tblInd w:w="-5" w:type="dxa"/>
        <w:tblLook w:val="04A0" w:firstRow="1" w:lastRow="0" w:firstColumn="1" w:lastColumn="0" w:noHBand="0" w:noVBand="1"/>
      </w:tblPr>
      <w:tblGrid>
        <w:gridCol w:w="1134"/>
        <w:gridCol w:w="1701"/>
        <w:gridCol w:w="1560"/>
        <w:gridCol w:w="1701"/>
        <w:gridCol w:w="2925"/>
      </w:tblGrid>
      <w:tr w:rsidR="005B05DF" w:rsidRPr="00776DC9" w14:paraId="2D3A4657" w14:textId="77777777" w:rsidTr="005B05DF">
        <w:trPr>
          <w:trHeight w:val="316"/>
        </w:trPr>
        <w:tc>
          <w:tcPr>
            <w:tcW w:w="1134" w:type="dxa"/>
            <w:shd w:val="clear" w:color="auto" w:fill="D9E2F3" w:themeFill="accent1" w:themeFillTint="33"/>
          </w:tcPr>
          <w:p w14:paraId="26E014DA" w14:textId="77777777" w:rsidR="005B05DF" w:rsidRPr="00776DC9" w:rsidRDefault="005B05DF" w:rsidP="005B05DF">
            <w:pPr>
              <w:rPr>
                <w:rFonts w:ascii="Calibri,Bold" w:hAnsi="Calibri,Bold" w:cs="Calibri,Bold"/>
                <w:b/>
                <w:bCs/>
                <w:szCs w:val="24"/>
              </w:rPr>
            </w:pPr>
            <w:r w:rsidRPr="00776DC9">
              <w:rPr>
                <w:rFonts w:ascii="Calibri,Bold" w:hAnsi="Calibri,Bold" w:cs="Calibri,Bold"/>
                <w:b/>
                <w:bCs/>
                <w:szCs w:val="24"/>
              </w:rPr>
              <w:t>Version</w:t>
            </w:r>
          </w:p>
        </w:tc>
        <w:tc>
          <w:tcPr>
            <w:tcW w:w="1701" w:type="dxa"/>
            <w:shd w:val="clear" w:color="auto" w:fill="D9E2F3" w:themeFill="accent1" w:themeFillTint="33"/>
          </w:tcPr>
          <w:p w14:paraId="7D8CB912" w14:textId="77777777" w:rsidR="005B05DF" w:rsidRPr="00776DC9" w:rsidRDefault="005B05DF" w:rsidP="005B05DF">
            <w:pPr>
              <w:rPr>
                <w:rFonts w:ascii="Calibri,Bold" w:hAnsi="Calibri,Bold" w:cs="Calibri,Bold"/>
                <w:b/>
                <w:bCs/>
                <w:szCs w:val="24"/>
              </w:rPr>
            </w:pPr>
            <w:r w:rsidRPr="00776DC9">
              <w:rPr>
                <w:rFonts w:ascii="Calibri,Bold" w:hAnsi="Calibri,Bold" w:cs="Calibri,Bold"/>
                <w:b/>
                <w:bCs/>
                <w:szCs w:val="24"/>
              </w:rPr>
              <w:t>Author</w:t>
            </w:r>
          </w:p>
        </w:tc>
        <w:tc>
          <w:tcPr>
            <w:tcW w:w="1560" w:type="dxa"/>
            <w:shd w:val="clear" w:color="auto" w:fill="D9E2F3" w:themeFill="accent1" w:themeFillTint="33"/>
          </w:tcPr>
          <w:p w14:paraId="1AA4EB7E" w14:textId="77777777" w:rsidR="005B05DF" w:rsidRPr="00776DC9" w:rsidRDefault="005B05DF" w:rsidP="005B05DF">
            <w:pPr>
              <w:rPr>
                <w:rFonts w:ascii="Calibri,Bold" w:hAnsi="Calibri,Bold" w:cs="Calibri,Bold"/>
                <w:b/>
                <w:bCs/>
                <w:szCs w:val="24"/>
              </w:rPr>
            </w:pPr>
            <w:r w:rsidRPr="00776DC9">
              <w:rPr>
                <w:rFonts w:ascii="Calibri,Bold" w:hAnsi="Calibri,Bold" w:cs="Calibri,Bold"/>
                <w:b/>
                <w:bCs/>
                <w:szCs w:val="24"/>
              </w:rPr>
              <w:t>Date written</w:t>
            </w:r>
          </w:p>
        </w:tc>
        <w:tc>
          <w:tcPr>
            <w:tcW w:w="1701" w:type="dxa"/>
            <w:shd w:val="clear" w:color="auto" w:fill="D9E2F3" w:themeFill="accent1" w:themeFillTint="33"/>
          </w:tcPr>
          <w:p w14:paraId="43EAEF4E" w14:textId="77777777" w:rsidR="005B05DF" w:rsidRPr="00776DC9" w:rsidRDefault="005B05DF" w:rsidP="005B05DF">
            <w:pPr>
              <w:rPr>
                <w:rFonts w:ascii="Calibri,Bold" w:hAnsi="Calibri,Bold" w:cs="Calibri,Bold"/>
                <w:b/>
                <w:bCs/>
                <w:szCs w:val="24"/>
              </w:rPr>
            </w:pPr>
            <w:r w:rsidRPr="00776DC9">
              <w:rPr>
                <w:rFonts w:ascii="Calibri,Bold" w:hAnsi="Calibri,Bold" w:cs="Calibri,Bold"/>
                <w:b/>
                <w:bCs/>
                <w:szCs w:val="24"/>
              </w:rPr>
              <w:t xml:space="preserve">Approved </w:t>
            </w:r>
          </w:p>
        </w:tc>
        <w:tc>
          <w:tcPr>
            <w:tcW w:w="2925" w:type="dxa"/>
            <w:shd w:val="clear" w:color="auto" w:fill="D9E2F3" w:themeFill="accent1" w:themeFillTint="33"/>
          </w:tcPr>
          <w:p w14:paraId="26EB5576" w14:textId="77777777" w:rsidR="005B05DF" w:rsidRPr="00776DC9" w:rsidRDefault="005B05DF" w:rsidP="005B05DF">
            <w:pPr>
              <w:rPr>
                <w:rFonts w:ascii="Calibri,Bold" w:hAnsi="Calibri,Bold" w:cs="Calibri,Bold"/>
                <w:b/>
                <w:bCs/>
                <w:szCs w:val="24"/>
              </w:rPr>
            </w:pPr>
            <w:r w:rsidRPr="00776DC9">
              <w:rPr>
                <w:rFonts w:ascii="Calibri,Bold" w:hAnsi="Calibri,Bold" w:cs="Calibri,Bold"/>
                <w:b/>
                <w:bCs/>
                <w:szCs w:val="24"/>
              </w:rPr>
              <w:t>Note of Revisions</w:t>
            </w:r>
          </w:p>
        </w:tc>
      </w:tr>
      <w:tr w:rsidR="005B05DF" w:rsidRPr="00776DC9" w14:paraId="45312205" w14:textId="77777777" w:rsidTr="005B05DF">
        <w:trPr>
          <w:trHeight w:val="651"/>
        </w:trPr>
        <w:tc>
          <w:tcPr>
            <w:tcW w:w="1134" w:type="dxa"/>
          </w:tcPr>
          <w:p w14:paraId="2FA95378" w14:textId="77777777" w:rsidR="005B05DF" w:rsidRPr="00776DC9" w:rsidRDefault="005B05DF" w:rsidP="00C156C9">
            <w:pPr>
              <w:rPr>
                <w:rFonts w:ascii="Calibri,Bold" w:hAnsi="Calibri,Bold" w:cs="Calibri,Bold"/>
                <w:bCs/>
                <w:szCs w:val="24"/>
              </w:rPr>
            </w:pPr>
            <w:r w:rsidRPr="00776DC9">
              <w:rPr>
                <w:rFonts w:ascii="Calibri,Bold" w:hAnsi="Calibri,Bold" w:cs="Calibri,Bold"/>
                <w:bCs/>
                <w:szCs w:val="24"/>
              </w:rPr>
              <w:t>V1</w:t>
            </w:r>
          </w:p>
        </w:tc>
        <w:tc>
          <w:tcPr>
            <w:tcW w:w="1701" w:type="dxa"/>
          </w:tcPr>
          <w:p w14:paraId="0DF3F099" w14:textId="77777777" w:rsidR="005B05DF" w:rsidRPr="00776DC9" w:rsidRDefault="005B05DF" w:rsidP="00C156C9">
            <w:pPr>
              <w:rPr>
                <w:rFonts w:ascii="Calibri,Bold" w:hAnsi="Calibri,Bold" w:cs="Calibri,Bold"/>
                <w:bCs/>
                <w:szCs w:val="24"/>
              </w:rPr>
            </w:pPr>
            <w:proofErr w:type="spellStart"/>
            <w:r w:rsidRPr="00776DC9">
              <w:rPr>
                <w:rFonts w:ascii="Calibri,Bold" w:hAnsi="Calibri,Bold" w:cs="Calibri,Bold"/>
                <w:bCs/>
                <w:szCs w:val="24"/>
              </w:rPr>
              <w:t>L.Claringbold</w:t>
            </w:r>
            <w:proofErr w:type="spellEnd"/>
          </w:p>
        </w:tc>
        <w:tc>
          <w:tcPr>
            <w:tcW w:w="1560" w:type="dxa"/>
          </w:tcPr>
          <w:p w14:paraId="6261D46E" w14:textId="72AADB3B" w:rsidR="005B05DF" w:rsidRPr="00776DC9" w:rsidRDefault="00373D9B" w:rsidP="00C156C9">
            <w:pPr>
              <w:rPr>
                <w:rFonts w:ascii="Calibri,Bold" w:hAnsi="Calibri,Bold" w:cs="Calibri,Bold"/>
                <w:bCs/>
                <w:szCs w:val="24"/>
              </w:rPr>
            </w:pPr>
            <w:r>
              <w:rPr>
                <w:rFonts w:ascii="Calibri,Bold" w:hAnsi="Calibri,Bold" w:cs="Calibri,Bold"/>
                <w:bCs/>
                <w:szCs w:val="24"/>
              </w:rPr>
              <w:t>22 Mar. 2022</w:t>
            </w:r>
          </w:p>
        </w:tc>
        <w:tc>
          <w:tcPr>
            <w:tcW w:w="1701" w:type="dxa"/>
          </w:tcPr>
          <w:p w14:paraId="5E1F584D" w14:textId="77777777" w:rsidR="005B05DF" w:rsidRPr="00776DC9" w:rsidRDefault="005B05DF" w:rsidP="00C156C9">
            <w:pPr>
              <w:rPr>
                <w:rFonts w:ascii="Calibri,Bold" w:hAnsi="Calibri,Bold" w:cs="Calibri,Bold"/>
                <w:bCs/>
                <w:szCs w:val="24"/>
              </w:rPr>
            </w:pPr>
          </w:p>
        </w:tc>
        <w:tc>
          <w:tcPr>
            <w:tcW w:w="2925" w:type="dxa"/>
          </w:tcPr>
          <w:p w14:paraId="738B61BA" w14:textId="4D177F8C" w:rsidR="005B05DF" w:rsidRPr="00776DC9" w:rsidRDefault="005B05DF" w:rsidP="00C156C9">
            <w:pPr>
              <w:rPr>
                <w:rFonts w:ascii="Calibri,Bold" w:hAnsi="Calibri,Bold" w:cs="Calibri,Bold"/>
                <w:bCs/>
                <w:szCs w:val="24"/>
              </w:rPr>
            </w:pPr>
          </w:p>
        </w:tc>
      </w:tr>
      <w:tr w:rsidR="005930CE" w:rsidRPr="00776DC9" w14:paraId="1F99F955" w14:textId="77777777" w:rsidTr="005B05DF">
        <w:trPr>
          <w:trHeight w:val="651"/>
        </w:trPr>
        <w:tc>
          <w:tcPr>
            <w:tcW w:w="1134" w:type="dxa"/>
          </w:tcPr>
          <w:p w14:paraId="645855C9" w14:textId="023AF17D" w:rsidR="005930CE" w:rsidRPr="00776DC9" w:rsidRDefault="005930CE" w:rsidP="00C156C9">
            <w:pPr>
              <w:rPr>
                <w:rFonts w:ascii="Calibri,Bold" w:hAnsi="Calibri,Bold" w:cs="Calibri,Bold"/>
                <w:bCs/>
                <w:szCs w:val="24"/>
              </w:rPr>
            </w:pPr>
            <w:r>
              <w:rPr>
                <w:rFonts w:ascii="Calibri,Bold" w:hAnsi="Calibri,Bold" w:cs="Calibri,Bold"/>
                <w:bCs/>
                <w:szCs w:val="24"/>
              </w:rPr>
              <w:t>V2</w:t>
            </w:r>
          </w:p>
        </w:tc>
        <w:tc>
          <w:tcPr>
            <w:tcW w:w="1701" w:type="dxa"/>
          </w:tcPr>
          <w:p w14:paraId="37139EBB" w14:textId="77777777" w:rsidR="005930CE" w:rsidRDefault="005930CE" w:rsidP="00C156C9">
            <w:pPr>
              <w:rPr>
                <w:rFonts w:ascii="Calibri,Bold" w:hAnsi="Calibri,Bold" w:cs="Calibri,Bold"/>
                <w:bCs/>
                <w:szCs w:val="24"/>
              </w:rPr>
            </w:pPr>
            <w:proofErr w:type="spellStart"/>
            <w:r>
              <w:rPr>
                <w:rFonts w:ascii="Calibri,Bold" w:hAnsi="Calibri,Bold" w:cs="Calibri,Bold"/>
                <w:bCs/>
                <w:szCs w:val="24"/>
              </w:rPr>
              <w:t>L.Claringbold</w:t>
            </w:r>
            <w:proofErr w:type="spellEnd"/>
          </w:p>
          <w:p w14:paraId="2BDFEAB8" w14:textId="05546DB1" w:rsidR="002C39C9" w:rsidRPr="00776DC9" w:rsidRDefault="002C39C9" w:rsidP="00C156C9">
            <w:pPr>
              <w:rPr>
                <w:rFonts w:ascii="Calibri,Bold" w:hAnsi="Calibri,Bold" w:cs="Calibri,Bold"/>
                <w:bCs/>
                <w:szCs w:val="24"/>
              </w:rPr>
            </w:pPr>
            <w:r>
              <w:rPr>
                <w:rFonts w:ascii="Calibri,Bold" w:hAnsi="Calibri,Bold" w:cs="Calibri,Bold"/>
                <w:bCs/>
                <w:szCs w:val="24"/>
              </w:rPr>
              <w:t>A Symonds</w:t>
            </w:r>
          </w:p>
        </w:tc>
        <w:tc>
          <w:tcPr>
            <w:tcW w:w="1560" w:type="dxa"/>
          </w:tcPr>
          <w:p w14:paraId="483C617F" w14:textId="58C8E8F1" w:rsidR="005930CE" w:rsidRDefault="005930CE" w:rsidP="00C156C9">
            <w:pPr>
              <w:rPr>
                <w:rFonts w:ascii="Calibri,Bold" w:hAnsi="Calibri,Bold" w:cs="Calibri,Bold"/>
                <w:bCs/>
                <w:szCs w:val="24"/>
              </w:rPr>
            </w:pPr>
            <w:r>
              <w:rPr>
                <w:rFonts w:ascii="Calibri,Bold" w:hAnsi="Calibri,Bold" w:cs="Calibri,Bold"/>
                <w:bCs/>
                <w:szCs w:val="24"/>
              </w:rPr>
              <w:t>09 Jan</w:t>
            </w:r>
            <w:r w:rsidR="00C2177E">
              <w:rPr>
                <w:rFonts w:ascii="Calibri,Bold" w:hAnsi="Calibri,Bold" w:cs="Calibri,Bold"/>
                <w:bCs/>
                <w:szCs w:val="24"/>
              </w:rPr>
              <w:t>.</w:t>
            </w:r>
            <w:r>
              <w:rPr>
                <w:rFonts w:ascii="Calibri,Bold" w:hAnsi="Calibri,Bold" w:cs="Calibri,Bold"/>
                <w:bCs/>
                <w:szCs w:val="24"/>
              </w:rPr>
              <w:t xml:space="preserve"> 2024</w:t>
            </w:r>
          </w:p>
        </w:tc>
        <w:tc>
          <w:tcPr>
            <w:tcW w:w="1701" w:type="dxa"/>
          </w:tcPr>
          <w:p w14:paraId="4F751802" w14:textId="59252787" w:rsidR="005930CE" w:rsidRPr="00776DC9" w:rsidRDefault="00C2177E" w:rsidP="00C156C9">
            <w:pPr>
              <w:rPr>
                <w:rFonts w:ascii="Calibri,Bold" w:hAnsi="Calibri,Bold" w:cs="Calibri,Bold"/>
                <w:bCs/>
                <w:szCs w:val="24"/>
              </w:rPr>
            </w:pPr>
            <w:r>
              <w:rPr>
                <w:rFonts w:ascii="Calibri,Bold" w:hAnsi="Calibri,Bold" w:cs="Calibri,Bold"/>
                <w:bCs/>
                <w:szCs w:val="24"/>
              </w:rPr>
              <w:t>23 Jan. 2024</w:t>
            </w:r>
          </w:p>
        </w:tc>
        <w:tc>
          <w:tcPr>
            <w:tcW w:w="2925" w:type="dxa"/>
          </w:tcPr>
          <w:p w14:paraId="5A26DA85" w14:textId="20272A75" w:rsidR="005930CE" w:rsidRPr="00776DC9" w:rsidRDefault="005930CE" w:rsidP="00C156C9">
            <w:pPr>
              <w:rPr>
                <w:rFonts w:ascii="Calibri,Bold" w:hAnsi="Calibri,Bold" w:cs="Calibri,Bold"/>
                <w:bCs/>
                <w:szCs w:val="24"/>
              </w:rPr>
            </w:pPr>
            <w:r>
              <w:rPr>
                <w:rFonts w:ascii="Calibri,Bold" w:hAnsi="Calibri,Bold" w:cs="Calibri,Bold"/>
                <w:bCs/>
                <w:szCs w:val="24"/>
              </w:rPr>
              <w:t>Updated in line with</w:t>
            </w:r>
            <w:r w:rsidR="0081001E">
              <w:rPr>
                <w:rFonts w:ascii="Calibri,Bold" w:hAnsi="Calibri,Bold" w:cs="Calibri,Bold"/>
                <w:bCs/>
                <w:szCs w:val="24"/>
              </w:rPr>
              <w:t xml:space="preserve"> the</w:t>
            </w:r>
            <w:r>
              <w:rPr>
                <w:rFonts w:ascii="Calibri,Bold" w:hAnsi="Calibri,Bold" w:cs="Calibri,Bold"/>
                <w:bCs/>
                <w:szCs w:val="24"/>
              </w:rPr>
              <w:t xml:space="preserve"> revised Gov.UK guid</w:t>
            </w:r>
            <w:r w:rsidR="0081001E">
              <w:rPr>
                <w:rFonts w:ascii="Calibri,Bold" w:hAnsi="Calibri,Bold" w:cs="Calibri,Bold"/>
                <w:bCs/>
                <w:szCs w:val="24"/>
              </w:rPr>
              <w:t>ance</w:t>
            </w:r>
          </w:p>
        </w:tc>
      </w:tr>
    </w:tbl>
    <w:p w14:paraId="52BC4C0E" w14:textId="5D85354B" w:rsidR="00485DA3" w:rsidRDefault="00485DA3">
      <w:pPr>
        <w:rPr>
          <w:rFonts w:cstheme="minorHAnsi"/>
        </w:rPr>
      </w:pPr>
    </w:p>
    <w:p w14:paraId="5A5A7262" w14:textId="77777777" w:rsidR="00485DA3" w:rsidRDefault="00485DA3">
      <w:pPr>
        <w:spacing w:after="160" w:line="259" w:lineRule="auto"/>
        <w:rPr>
          <w:rFonts w:cstheme="minorHAnsi"/>
        </w:rPr>
      </w:pPr>
      <w:r>
        <w:rPr>
          <w:rFonts w:cstheme="minorHAnsi"/>
        </w:rPr>
        <w:br w:type="page"/>
      </w:r>
    </w:p>
    <w:p w14:paraId="3073976E" w14:textId="77777777" w:rsidR="00071358" w:rsidRPr="00776DC9" w:rsidRDefault="00071358">
      <w:pPr>
        <w:rPr>
          <w:rFonts w:cstheme="minorHAnsi"/>
        </w:rPr>
      </w:pPr>
    </w:p>
    <w:sdt>
      <w:sdtPr>
        <w:rPr>
          <w:rFonts w:asciiTheme="minorHAnsi" w:eastAsiaTheme="minorHAnsi" w:hAnsiTheme="minorHAnsi" w:cstheme="minorBidi"/>
          <w:color w:val="auto"/>
          <w:sz w:val="22"/>
          <w:szCs w:val="22"/>
          <w:lang w:val="en-GB"/>
        </w:rPr>
        <w:id w:val="30240018"/>
        <w:docPartObj>
          <w:docPartGallery w:val="Table of Contents"/>
          <w:docPartUnique/>
        </w:docPartObj>
      </w:sdtPr>
      <w:sdtEndPr>
        <w:rPr>
          <w:b/>
          <w:bCs/>
          <w:noProof/>
        </w:rPr>
      </w:sdtEndPr>
      <w:sdtContent>
        <w:p w14:paraId="1CBE9B71" w14:textId="77777777" w:rsidR="00C633F0" w:rsidRPr="00776DC9" w:rsidRDefault="00C633F0">
          <w:pPr>
            <w:pStyle w:val="TOCHeading"/>
          </w:pPr>
          <w:r w:rsidRPr="00776DC9">
            <w:t>Contents</w:t>
          </w:r>
        </w:p>
        <w:p w14:paraId="24E4226E" w14:textId="4AD9CD61" w:rsidR="0081001E" w:rsidRDefault="00C633F0">
          <w:pPr>
            <w:pStyle w:val="TOC1"/>
            <w:tabs>
              <w:tab w:val="left" w:pos="440"/>
              <w:tab w:val="right" w:leader="dot" w:pos="9016"/>
            </w:tabs>
            <w:rPr>
              <w:rFonts w:eastAsiaTheme="minorEastAsia"/>
              <w:noProof/>
              <w:kern w:val="2"/>
              <w:lang w:eastAsia="en-GB"/>
              <w14:ligatures w14:val="standardContextual"/>
            </w:rPr>
          </w:pPr>
          <w:r w:rsidRPr="00776DC9">
            <w:fldChar w:fldCharType="begin"/>
          </w:r>
          <w:r w:rsidRPr="00776DC9">
            <w:instrText xml:space="preserve"> TOC \o "1-3" \h \z \u </w:instrText>
          </w:r>
          <w:r w:rsidRPr="00776DC9">
            <w:fldChar w:fldCharType="separate"/>
          </w:r>
          <w:hyperlink w:anchor="_Toc155953417" w:history="1">
            <w:r w:rsidR="0081001E" w:rsidRPr="00AB2873">
              <w:rPr>
                <w:rStyle w:val="Hyperlink"/>
                <w:noProof/>
              </w:rPr>
              <w:t>1.</w:t>
            </w:r>
            <w:r w:rsidR="0081001E">
              <w:rPr>
                <w:rFonts w:eastAsiaTheme="minorEastAsia"/>
                <w:noProof/>
                <w:kern w:val="2"/>
                <w:lang w:eastAsia="en-GB"/>
                <w14:ligatures w14:val="standardContextual"/>
              </w:rPr>
              <w:tab/>
            </w:r>
            <w:r w:rsidR="0081001E" w:rsidRPr="00AB2873">
              <w:rPr>
                <w:rStyle w:val="Hyperlink"/>
                <w:noProof/>
              </w:rPr>
              <w:t>Introduction</w:t>
            </w:r>
            <w:r w:rsidR="0081001E">
              <w:rPr>
                <w:noProof/>
                <w:webHidden/>
              </w:rPr>
              <w:tab/>
            </w:r>
            <w:r w:rsidR="0081001E">
              <w:rPr>
                <w:noProof/>
                <w:webHidden/>
              </w:rPr>
              <w:fldChar w:fldCharType="begin"/>
            </w:r>
            <w:r w:rsidR="0081001E">
              <w:rPr>
                <w:noProof/>
                <w:webHidden/>
              </w:rPr>
              <w:instrText xml:space="preserve"> PAGEREF _Toc155953417 \h </w:instrText>
            </w:r>
            <w:r w:rsidR="0081001E">
              <w:rPr>
                <w:noProof/>
                <w:webHidden/>
              </w:rPr>
            </w:r>
            <w:r w:rsidR="0081001E">
              <w:rPr>
                <w:noProof/>
                <w:webHidden/>
              </w:rPr>
              <w:fldChar w:fldCharType="separate"/>
            </w:r>
            <w:r w:rsidR="00B02D52">
              <w:rPr>
                <w:noProof/>
                <w:webHidden/>
              </w:rPr>
              <w:t>3</w:t>
            </w:r>
            <w:r w:rsidR="0081001E">
              <w:rPr>
                <w:noProof/>
                <w:webHidden/>
              </w:rPr>
              <w:fldChar w:fldCharType="end"/>
            </w:r>
          </w:hyperlink>
        </w:p>
        <w:p w14:paraId="5F09A8D4" w14:textId="15DA5050" w:rsidR="0081001E" w:rsidRDefault="00000000">
          <w:pPr>
            <w:pStyle w:val="TOC1"/>
            <w:tabs>
              <w:tab w:val="left" w:pos="440"/>
              <w:tab w:val="right" w:leader="dot" w:pos="9016"/>
            </w:tabs>
            <w:rPr>
              <w:rFonts w:eastAsiaTheme="minorEastAsia"/>
              <w:noProof/>
              <w:kern w:val="2"/>
              <w:lang w:eastAsia="en-GB"/>
              <w14:ligatures w14:val="standardContextual"/>
            </w:rPr>
          </w:pPr>
          <w:hyperlink w:anchor="_Toc155953418" w:history="1">
            <w:r w:rsidR="0081001E" w:rsidRPr="00AB2873">
              <w:rPr>
                <w:rStyle w:val="Hyperlink"/>
                <w:noProof/>
              </w:rPr>
              <w:t>2.</w:t>
            </w:r>
            <w:r w:rsidR="0081001E">
              <w:rPr>
                <w:rFonts w:eastAsiaTheme="minorEastAsia"/>
                <w:noProof/>
                <w:kern w:val="2"/>
                <w:lang w:eastAsia="en-GB"/>
                <w14:ligatures w14:val="standardContextual"/>
              </w:rPr>
              <w:tab/>
            </w:r>
            <w:r w:rsidR="0081001E" w:rsidRPr="00AB2873">
              <w:rPr>
                <w:rStyle w:val="Hyperlink"/>
                <w:noProof/>
              </w:rPr>
              <w:t>Guidance</w:t>
            </w:r>
            <w:r w:rsidR="0081001E">
              <w:rPr>
                <w:noProof/>
                <w:webHidden/>
              </w:rPr>
              <w:tab/>
            </w:r>
            <w:r w:rsidR="0081001E">
              <w:rPr>
                <w:noProof/>
                <w:webHidden/>
              </w:rPr>
              <w:fldChar w:fldCharType="begin"/>
            </w:r>
            <w:r w:rsidR="0081001E">
              <w:rPr>
                <w:noProof/>
                <w:webHidden/>
              </w:rPr>
              <w:instrText xml:space="preserve"> PAGEREF _Toc155953418 \h </w:instrText>
            </w:r>
            <w:r w:rsidR="0081001E">
              <w:rPr>
                <w:noProof/>
                <w:webHidden/>
              </w:rPr>
            </w:r>
            <w:r w:rsidR="0081001E">
              <w:rPr>
                <w:noProof/>
                <w:webHidden/>
              </w:rPr>
              <w:fldChar w:fldCharType="separate"/>
            </w:r>
            <w:r w:rsidR="00B02D52">
              <w:rPr>
                <w:noProof/>
                <w:webHidden/>
              </w:rPr>
              <w:t>3</w:t>
            </w:r>
            <w:r w:rsidR="0081001E">
              <w:rPr>
                <w:noProof/>
                <w:webHidden/>
              </w:rPr>
              <w:fldChar w:fldCharType="end"/>
            </w:r>
          </w:hyperlink>
        </w:p>
        <w:p w14:paraId="109EC92D" w14:textId="246FCBC3" w:rsidR="0081001E" w:rsidRDefault="00000000">
          <w:pPr>
            <w:pStyle w:val="TOC1"/>
            <w:tabs>
              <w:tab w:val="left" w:pos="440"/>
              <w:tab w:val="right" w:leader="dot" w:pos="9016"/>
            </w:tabs>
            <w:rPr>
              <w:rFonts w:eastAsiaTheme="minorEastAsia"/>
              <w:noProof/>
              <w:kern w:val="2"/>
              <w:lang w:eastAsia="en-GB"/>
              <w14:ligatures w14:val="standardContextual"/>
            </w:rPr>
          </w:pPr>
          <w:hyperlink w:anchor="_Toc155953419" w:history="1">
            <w:r w:rsidR="0081001E" w:rsidRPr="00AB2873">
              <w:rPr>
                <w:rStyle w:val="Hyperlink"/>
                <w:noProof/>
              </w:rPr>
              <w:t>3.</w:t>
            </w:r>
            <w:r w:rsidR="0081001E">
              <w:rPr>
                <w:rFonts w:eastAsiaTheme="minorEastAsia"/>
                <w:noProof/>
                <w:kern w:val="2"/>
                <w:lang w:eastAsia="en-GB"/>
                <w14:ligatures w14:val="standardContextual"/>
              </w:rPr>
              <w:tab/>
            </w:r>
            <w:r w:rsidR="0081001E" w:rsidRPr="00AB2873">
              <w:rPr>
                <w:rStyle w:val="Hyperlink"/>
                <w:noProof/>
              </w:rPr>
              <w:t>Definitions</w:t>
            </w:r>
            <w:r w:rsidR="0081001E">
              <w:rPr>
                <w:noProof/>
                <w:webHidden/>
              </w:rPr>
              <w:tab/>
            </w:r>
            <w:r w:rsidR="0081001E">
              <w:rPr>
                <w:noProof/>
                <w:webHidden/>
              </w:rPr>
              <w:fldChar w:fldCharType="begin"/>
            </w:r>
            <w:r w:rsidR="0081001E">
              <w:rPr>
                <w:noProof/>
                <w:webHidden/>
              </w:rPr>
              <w:instrText xml:space="preserve"> PAGEREF _Toc155953419 \h </w:instrText>
            </w:r>
            <w:r w:rsidR="0081001E">
              <w:rPr>
                <w:noProof/>
                <w:webHidden/>
              </w:rPr>
            </w:r>
            <w:r w:rsidR="0081001E">
              <w:rPr>
                <w:noProof/>
                <w:webHidden/>
              </w:rPr>
              <w:fldChar w:fldCharType="separate"/>
            </w:r>
            <w:r w:rsidR="00B02D52">
              <w:rPr>
                <w:noProof/>
                <w:webHidden/>
              </w:rPr>
              <w:t>3</w:t>
            </w:r>
            <w:r w:rsidR="0081001E">
              <w:rPr>
                <w:noProof/>
                <w:webHidden/>
              </w:rPr>
              <w:fldChar w:fldCharType="end"/>
            </w:r>
          </w:hyperlink>
        </w:p>
        <w:p w14:paraId="36987600" w14:textId="4DF53D98" w:rsidR="0081001E" w:rsidRDefault="00000000">
          <w:pPr>
            <w:pStyle w:val="TOC1"/>
            <w:tabs>
              <w:tab w:val="left" w:pos="440"/>
              <w:tab w:val="right" w:leader="dot" w:pos="9016"/>
            </w:tabs>
            <w:rPr>
              <w:rFonts w:eastAsiaTheme="minorEastAsia"/>
              <w:noProof/>
              <w:kern w:val="2"/>
              <w:lang w:eastAsia="en-GB"/>
              <w14:ligatures w14:val="standardContextual"/>
            </w:rPr>
          </w:pPr>
          <w:hyperlink w:anchor="_Toc155953420" w:history="1">
            <w:r w:rsidR="0081001E" w:rsidRPr="00AB2873">
              <w:rPr>
                <w:rStyle w:val="Hyperlink"/>
                <w:noProof/>
              </w:rPr>
              <w:t>4.</w:t>
            </w:r>
            <w:r w:rsidR="0081001E">
              <w:rPr>
                <w:rFonts w:eastAsiaTheme="minorEastAsia"/>
                <w:noProof/>
                <w:kern w:val="2"/>
                <w:lang w:eastAsia="en-GB"/>
                <w14:ligatures w14:val="standardContextual"/>
              </w:rPr>
              <w:tab/>
            </w:r>
            <w:r w:rsidR="0081001E" w:rsidRPr="00AB2873">
              <w:rPr>
                <w:rStyle w:val="Hyperlink"/>
                <w:noProof/>
              </w:rPr>
              <w:t>Roles and responsibilities</w:t>
            </w:r>
            <w:r w:rsidR="0081001E">
              <w:rPr>
                <w:noProof/>
                <w:webHidden/>
              </w:rPr>
              <w:tab/>
            </w:r>
            <w:r w:rsidR="0081001E">
              <w:rPr>
                <w:noProof/>
                <w:webHidden/>
              </w:rPr>
              <w:fldChar w:fldCharType="begin"/>
            </w:r>
            <w:r w:rsidR="0081001E">
              <w:rPr>
                <w:noProof/>
                <w:webHidden/>
              </w:rPr>
              <w:instrText xml:space="preserve"> PAGEREF _Toc155953420 \h </w:instrText>
            </w:r>
            <w:r w:rsidR="0081001E">
              <w:rPr>
                <w:noProof/>
                <w:webHidden/>
              </w:rPr>
            </w:r>
            <w:r w:rsidR="0081001E">
              <w:rPr>
                <w:noProof/>
                <w:webHidden/>
              </w:rPr>
              <w:fldChar w:fldCharType="separate"/>
            </w:r>
            <w:r w:rsidR="00B02D52">
              <w:rPr>
                <w:noProof/>
                <w:webHidden/>
              </w:rPr>
              <w:t>4</w:t>
            </w:r>
            <w:r w:rsidR="0081001E">
              <w:rPr>
                <w:noProof/>
                <w:webHidden/>
              </w:rPr>
              <w:fldChar w:fldCharType="end"/>
            </w:r>
          </w:hyperlink>
        </w:p>
        <w:p w14:paraId="11F3AFC0" w14:textId="09315F78" w:rsidR="0081001E" w:rsidRDefault="00000000">
          <w:pPr>
            <w:pStyle w:val="TOC1"/>
            <w:tabs>
              <w:tab w:val="left" w:pos="440"/>
              <w:tab w:val="right" w:leader="dot" w:pos="9016"/>
            </w:tabs>
            <w:rPr>
              <w:rFonts w:eastAsiaTheme="minorEastAsia"/>
              <w:noProof/>
              <w:kern w:val="2"/>
              <w:lang w:eastAsia="en-GB"/>
              <w14:ligatures w14:val="standardContextual"/>
            </w:rPr>
          </w:pPr>
          <w:hyperlink w:anchor="_Toc155953421" w:history="1">
            <w:r w:rsidR="0081001E" w:rsidRPr="00AB2873">
              <w:rPr>
                <w:rStyle w:val="Hyperlink"/>
                <w:noProof/>
              </w:rPr>
              <w:t>5.</w:t>
            </w:r>
            <w:r w:rsidR="0081001E">
              <w:rPr>
                <w:rFonts w:eastAsiaTheme="minorEastAsia"/>
                <w:noProof/>
                <w:kern w:val="2"/>
                <w:lang w:eastAsia="en-GB"/>
                <w14:ligatures w14:val="standardContextual"/>
              </w:rPr>
              <w:tab/>
            </w:r>
            <w:r w:rsidR="0081001E" w:rsidRPr="00AB2873">
              <w:rPr>
                <w:rStyle w:val="Hyperlink"/>
                <w:noProof/>
              </w:rPr>
              <w:t>Recognising risk and susceptibility</w:t>
            </w:r>
            <w:r w:rsidR="0081001E">
              <w:rPr>
                <w:noProof/>
                <w:webHidden/>
              </w:rPr>
              <w:tab/>
            </w:r>
            <w:r w:rsidR="0081001E">
              <w:rPr>
                <w:noProof/>
                <w:webHidden/>
              </w:rPr>
              <w:fldChar w:fldCharType="begin"/>
            </w:r>
            <w:r w:rsidR="0081001E">
              <w:rPr>
                <w:noProof/>
                <w:webHidden/>
              </w:rPr>
              <w:instrText xml:space="preserve"> PAGEREF _Toc155953421 \h </w:instrText>
            </w:r>
            <w:r w:rsidR="0081001E">
              <w:rPr>
                <w:noProof/>
                <w:webHidden/>
              </w:rPr>
            </w:r>
            <w:r w:rsidR="0081001E">
              <w:rPr>
                <w:noProof/>
                <w:webHidden/>
              </w:rPr>
              <w:fldChar w:fldCharType="separate"/>
            </w:r>
            <w:r w:rsidR="00B02D52">
              <w:rPr>
                <w:noProof/>
                <w:webHidden/>
              </w:rPr>
              <w:t>5</w:t>
            </w:r>
            <w:r w:rsidR="0081001E">
              <w:rPr>
                <w:noProof/>
                <w:webHidden/>
              </w:rPr>
              <w:fldChar w:fldCharType="end"/>
            </w:r>
          </w:hyperlink>
        </w:p>
        <w:p w14:paraId="4CAA12BE" w14:textId="0D2184B8" w:rsidR="0081001E" w:rsidRDefault="00000000">
          <w:pPr>
            <w:pStyle w:val="TOC1"/>
            <w:tabs>
              <w:tab w:val="left" w:pos="660"/>
              <w:tab w:val="right" w:leader="dot" w:pos="9016"/>
            </w:tabs>
            <w:rPr>
              <w:rFonts w:eastAsiaTheme="minorEastAsia"/>
              <w:noProof/>
              <w:kern w:val="2"/>
              <w:lang w:eastAsia="en-GB"/>
              <w14:ligatures w14:val="standardContextual"/>
            </w:rPr>
          </w:pPr>
          <w:hyperlink w:anchor="_Toc155953422" w:history="1">
            <w:r w:rsidR="0081001E" w:rsidRPr="00AB2873">
              <w:rPr>
                <w:rStyle w:val="Hyperlink"/>
                <w:noProof/>
              </w:rPr>
              <w:t>5.1.</w:t>
            </w:r>
            <w:r w:rsidR="0081001E">
              <w:rPr>
                <w:rFonts w:eastAsiaTheme="minorEastAsia"/>
                <w:noProof/>
                <w:kern w:val="2"/>
                <w:lang w:eastAsia="en-GB"/>
                <w14:ligatures w14:val="standardContextual"/>
              </w:rPr>
              <w:tab/>
            </w:r>
            <w:r w:rsidR="0081001E" w:rsidRPr="00AB2873">
              <w:rPr>
                <w:rStyle w:val="Hyperlink"/>
                <w:noProof/>
              </w:rPr>
              <w:t>Assessing risk</w:t>
            </w:r>
            <w:r w:rsidR="0081001E">
              <w:rPr>
                <w:noProof/>
                <w:webHidden/>
              </w:rPr>
              <w:tab/>
            </w:r>
            <w:r w:rsidR="0081001E">
              <w:rPr>
                <w:noProof/>
                <w:webHidden/>
              </w:rPr>
              <w:fldChar w:fldCharType="begin"/>
            </w:r>
            <w:r w:rsidR="0081001E">
              <w:rPr>
                <w:noProof/>
                <w:webHidden/>
              </w:rPr>
              <w:instrText xml:space="preserve"> PAGEREF _Toc155953422 \h </w:instrText>
            </w:r>
            <w:r w:rsidR="0081001E">
              <w:rPr>
                <w:noProof/>
                <w:webHidden/>
              </w:rPr>
            </w:r>
            <w:r w:rsidR="0081001E">
              <w:rPr>
                <w:noProof/>
                <w:webHidden/>
              </w:rPr>
              <w:fldChar w:fldCharType="separate"/>
            </w:r>
            <w:r w:rsidR="00B02D52">
              <w:rPr>
                <w:noProof/>
                <w:webHidden/>
              </w:rPr>
              <w:t>6</w:t>
            </w:r>
            <w:r w:rsidR="0081001E">
              <w:rPr>
                <w:noProof/>
                <w:webHidden/>
              </w:rPr>
              <w:fldChar w:fldCharType="end"/>
            </w:r>
          </w:hyperlink>
        </w:p>
        <w:p w14:paraId="339DF37E" w14:textId="7B0BC2AB" w:rsidR="0081001E" w:rsidRDefault="00000000">
          <w:pPr>
            <w:pStyle w:val="TOC1"/>
            <w:tabs>
              <w:tab w:val="left" w:pos="440"/>
              <w:tab w:val="right" w:leader="dot" w:pos="9016"/>
            </w:tabs>
            <w:rPr>
              <w:rFonts w:eastAsiaTheme="minorEastAsia"/>
              <w:noProof/>
              <w:kern w:val="2"/>
              <w:lang w:eastAsia="en-GB"/>
              <w14:ligatures w14:val="standardContextual"/>
            </w:rPr>
          </w:pPr>
          <w:hyperlink w:anchor="_Toc155953423" w:history="1">
            <w:r w:rsidR="0081001E" w:rsidRPr="00AB2873">
              <w:rPr>
                <w:rStyle w:val="Hyperlink"/>
                <w:noProof/>
              </w:rPr>
              <w:t>6.</w:t>
            </w:r>
            <w:r w:rsidR="0081001E">
              <w:rPr>
                <w:rFonts w:eastAsiaTheme="minorEastAsia"/>
                <w:noProof/>
                <w:kern w:val="2"/>
                <w:lang w:eastAsia="en-GB"/>
                <w14:ligatures w14:val="standardContextual"/>
              </w:rPr>
              <w:tab/>
            </w:r>
            <w:r w:rsidR="0081001E" w:rsidRPr="00AB2873">
              <w:rPr>
                <w:rStyle w:val="Hyperlink"/>
                <w:noProof/>
              </w:rPr>
              <w:t>Referrals and intervention</w:t>
            </w:r>
            <w:r w:rsidR="0081001E">
              <w:rPr>
                <w:noProof/>
                <w:webHidden/>
              </w:rPr>
              <w:tab/>
            </w:r>
            <w:r w:rsidR="0081001E">
              <w:rPr>
                <w:noProof/>
                <w:webHidden/>
              </w:rPr>
              <w:fldChar w:fldCharType="begin"/>
            </w:r>
            <w:r w:rsidR="0081001E">
              <w:rPr>
                <w:noProof/>
                <w:webHidden/>
              </w:rPr>
              <w:instrText xml:space="preserve"> PAGEREF _Toc155953423 \h </w:instrText>
            </w:r>
            <w:r w:rsidR="0081001E">
              <w:rPr>
                <w:noProof/>
                <w:webHidden/>
              </w:rPr>
            </w:r>
            <w:r w:rsidR="0081001E">
              <w:rPr>
                <w:noProof/>
                <w:webHidden/>
              </w:rPr>
              <w:fldChar w:fldCharType="separate"/>
            </w:r>
            <w:r w:rsidR="00B02D52">
              <w:rPr>
                <w:noProof/>
                <w:webHidden/>
              </w:rPr>
              <w:t>6</w:t>
            </w:r>
            <w:r w:rsidR="0081001E">
              <w:rPr>
                <w:noProof/>
                <w:webHidden/>
              </w:rPr>
              <w:fldChar w:fldCharType="end"/>
            </w:r>
          </w:hyperlink>
        </w:p>
        <w:p w14:paraId="4D92F4E6" w14:textId="3A120E06" w:rsidR="0081001E" w:rsidRDefault="00000000">
          <w:pPr>
            <w:pStyle w:val="TOC1"/>
            <w:tabs>
              <w:tab w:val="left" w:pos="660"/>
              <w:tab w:val="right" w:leader="dot" w:pos="9016"/>
            </w:tabs>
            <w:rPr>
              <w:rFonts w:eastAsiaTheme="minorEastAsia"/>
              <w:noProof/>
              <w:kern w:val="2"/>
              <w:lang w:eastAsia="en-GB"/>
              <w14:ligatures w14:val="standardContextual"/>
            </w:rPr>
          </w:pPr>
          <w:hyperlink w:anchor="_Toc155953424" w:history="1">
            <w:r w:rsidR="0081001E" w:rsidRPr="00AB2873">
              <w:rPr>
                <w:rStyle w:val="Hyperlink"/>
                <w:noProof/>
              </w:rPr>
              <w:t>6.1.</w:t>
            </w:r>
            <w:r w:rsidR="0081001E">
              <w:rPr>
                <w:rFonts w:eastAsiaTheme="minorEastAsia"/>
                <w:noProof/>
                <w:kern w:val="2"/>
                <w:lang w:eastAsia="en-GB"/>
                <w14:ligatures w14:val="standardContextual"/>
              </w:rPr>
              <w:tab/>
            </w:r>
            <w:r w:rsidR="0081001E" w:rsidRPr="00AB2873">
              <w:rPr>
                <w:rStyle w:val="Hyperlink"/>
                <w:noProof/>
              </w:rPr>
              <w:t>Escalation to Channel</w:t>
            </w:r>
            <w:r w:rsidR="0081001E">
              <w:rPr>
                <w:noProof/>
                <w:webHidden/>
              </w:rPr>
              <w:tab/>
            </w:r>
            <w:r w:rsidR="0081001E">
              <w:rPr>
                <w:noProof/>
                <w:webHidden/>
              </w:rPr>
              <w:fldChar w:fldCharType="begin"/>
            </w:r>
            <w:r w:rsidR="0081001E">
              <w:rPr>
                <w:noProof/>
                <w:webHidden/>
              </w:rPr>
              <w:instrText xml:space="preserve"> PAGEREF _Toc155953424 \h </w:instrText>
            </w:r>
            <w:r w:rsidR="0081001E">
              <w:rPr>
                <w:noProof/>
                <w:webHidden/>
              </w:rPr>
            </w:r>
            <w:r w:rsidR="0081001E">
              <w:rPr>
                <w:noProof/>
                <w:webHidden/>
              </w:rPr>
              <w:fldChar w:fldCharType="separate"/>
            </w:r>
            <w:r w:rsidR="00B02D52">
              <w:rPr>
                <w:noProof/>
                <w:webHidden/>
              </w:rPr>
              <w:t>6</w:t>
            </w:r>
            <w:r w:rsidR="0081001E">
              <w:rPr>
                <w:noProof/>
                <w:webHidden/>
              </w:rPr>
              <w:fldChar w:fldCharType="end"/>
            </w:r>
          </w:hyperlink>
        </w:p>
        <w:p w14:paraId="19CA0A60" w14:textId="574EB827" w:rsidR="0081001E" w:rsidRDefault="00000000">
          <w:pPr>
            <w:pStyle w:val="TOC1"/>
            <w:tabs>
              <w:tab w:val="left" w:pos="440"/>
              <w:tab w:val="right" w:leader="dot" w:pos="9016"/>
            </w:tabs>
            <w:rPr>
              <w:rFonts w:eastAsiaTheme="minorEastAsia"/>
              <w:noProof/>
              <w:kern w:val="2"/>
              <w:lang w:eastAsia="en-GB"/>
              <w14:ligatures w14:val="standardContextual"/>
            </w:rPr>
          </w:pPr>
          <w:hyperlink w:anchor="_Toc155953425" w:history="1">
            <w:r w:rsidR="0081001E" w:rsidRPr="00AB2873">
              <w:rPr>
                <w:rStyle w:val="Hyperlink"/>
                <w:noProof/>
              </w:rPr>
              <w:t>7.</w:t>
            </w:r>
            <w:r w:rsidR="0081001E">
              <w:rPr>
                <w:rFonts w:eastAsiaTheme="minorEastAsia"/>
                <w:noProof/>
                <w:kern w:val="2"/>
                <w:lang w:eastAsia="en-GB"/>
                <w14:ligatures w14:val="standardContextual"/>
              </w:rPr>
              <w:tab/>
            </w:r>
            <w:r w:rsidR="0081001E" w:rsidRPr="00AB2873">
              <w:rPr>
                <w:rStyle w:val="Hyperlink"/>
                <w:noProof/>
              </w:rPr>
              <w:t>Data sharing</w:t>
            </w:r>
            <w:r w:rsidR="0081001E">
              <w:rPr>
                <w:noProof/>
                <w:webHidden/>
              </w:rPr>
              <w:tab/>
            </w:r>
            <w:r w:rsidR="0081001E">
              <w:rPr>
                <w:noProof/>
                <w:webHidden/>
              </w:rPr>
              <w:fldChar w:fldCharType="begin"/>
            </w:r>
            <w:r w:rsidR="0081001E">
              <w:rPr>
                <w:noProof/>
                <w:webHidden/>
              </w:rPr>
              <w:instrText xml:space="preserve"> PAGEREF _Toc155953425 \h </w:instrText>
            </w:r>
            <w:r w:rsidR="0081001E">
              <w:rPr>
                <w:noProof/>
                <w:webHidden/>
              </w:rPr>
            </w:r>
            <w:r w:rsidR="0081001E">
              <w:rPr>
                <w:noProof/>
                <w:webHidden/>
              </w:rPr>
              <w:fldChar w:fldCharType="separate"/>
            </w:r>
            <w:r w:rsidR="00B02D52">
              <w:rPr>
                <w:noProof/>
                <w:webHidden/>
              </w:rPr>
              <w:t>6</w:t>
            </w:r>
            <w:r w:rsidR="0081001E">
              <w:rPr>
                <w:noProof/>
                <w:webHidden/>
              </w:rPr>
              <w:fldChar w:fldCharType="end"/>
            </w:r>
          </w:hyperlink>
        </w:p>
        <w:p w14:paraId="76FCD126" w14:textId="2AFB541D" w:rsidR="0081001E" w:rsidRDefault="00000000">
          <w:pPr>
            <w:pStyle w:val="TOC1"/>
            <w:tabs>
              <w:tab w:val="left" w:pos="440"/>
              <w:tab w:val="right" w:leader="dot" w:pos="9016"/>
            </w:tabs>
            <w:rPr>
              <w:rFonts w:eastAsiaTheme="minorEastAsia"/>
              <w:noProof/>
              <w:kern w:val="2"/>
              <w:lang w:eastAsia="en-GB"/>
              <w14:ligatures w14:val="standardContextual"/>
            </w:rPr>
          </w:pPr>
          <w:hyperlink w:anchor="_Toc155953426" w:history="1">
            <w:r w:rsidR="0081001E" w:rsidRPr="00AB2873">
              <w:rPr>
                <w:rStyle w:val="Hyperlink"/>
                <w:noProof/>
              </w:rPr>
              <w:t>8.</w:t>
            </w:r>
            <w:r w:rsidR="0081001E">
              <w:rPr>
                <w:rFonts w:eastAsiaTheme="minorEastAsia"/>
                <w:noProof/>
                <w:kern w:val="2"/>
                <w:lang w:eastAsia="en-GB"/>
                <w14:ligatures w14:val="standardContextual"/>
              </w:rPr>
              <w:tab/>
            </w:r>
            <w:r w:rsidR="0081001E" w:rsidRPr="00AB2873">
              <w:rPr>
                <w:rStyle w:val="Hyperlink"/>
                <w:noProof/>
              </w:rPr>
              <w:t>Curriculum</w:t>
            </w:r>
            <w:r w:rsidR="0081001E">
              <w:rPr>
                <w:noProof/>
                <w:webHidden/>
              </w:rPr>
              <w:tab/>
            </w:r>
            <w:r w:rsidR="0081001E">
              <w:rPr>
                <w:noProof/>
                <w:webHidden/>
              </w:rPr>
              <w:fldChar w:fldCharType="begin"/>
            </w:r>
            <w:r w:rsidR="0081001E">
              <w:rPr>
                <w:noProof/>
                <w:webHidden/>
              </w:rPr>
              <w:instrText xml:space="preserve"> PAGEREF _Toc155953426 \h </w:instrText>
            </w:r>
            <w:r w:rsidR="0081001E">
              <w:rPr>
                <w:noProof/>
                <w:webHidden/>
              </w:rPr>
            </w:r>
            <w:r w:rsidR="0081001E">
              <w:rPr>
                <w:noProof/>
                <w:webHidden/>
              </w:rPr>
              <w:fldChar w:fldCharType="separate"/>
            </w:r>
            <w:r w:rsidR="00B02D52">
              <w:rPr>
                <w:noProof/>
                <w:webHidden/>
              </w:rPr>
              <w:t>7</w:t>
            </w:r>
            <w:r w:rsidR="0081001E">
              <w:rPr>
                <w:noProof/>
                <w:webHidden/>
              </w:rPr>
              <w:fldChar w:fldCharType="end"/>
            </w:r>
          </w:hyperlink>
        </w:p>
        <w:p w14:paraId="5BF09B8F" w14:textId="74E057E7" w:rsidR="0081001E" w:rsidRDefault="00000000">
          <w:pPr>
            <w:pStyle w:val="TOC1"/>
            <w:tabs>
              <w:tab w:val="left" w:pos="440"/>
              <w:tab w:val="right" w:leader="dot" w:pos="9016"/>
            </w:tabs>
            <w:rPr>
              <w:rFonts w:eastAsiaTheme="minorEastAsia"/>
              <w:noProof/>
              <w:kern w:val="2"/>
              <w:lang w:eastAsia="en-GB"/>
              <w14:ligatures w14:val="standardContextual"/>
            </w:rPr>
          </w:pPr>
          <w:hyperlink w:anchor="_Toc155953427" w:history="1">
            <w:r w:rsidR="0081001E" w:rsidRPr="00AB2873">
              <w:rPr>
                <w:rStyle w:val="Hyperlink"/>
                <w:noProof/>
              </w:rPr>
              <w:t>9.</w:t>
            </w:r>
            <w:r w:rsidR="0081001E">
              <w:rPr>
                <w:rFonts w:eastAsiaTheme="minorEastAsia"/>
                <w:noProof/>
                <w:kern w:val="2"/>
                <w:lang w:eastAsia="en-GB"/>
                <w14:ligatures w14:val="standardContextual"/>
              </w:rPr>
              <w:tab/>
            </w:r>
            <w:r w:rsidR="0081001E" w:rsidRPr="00AB2873">
              <w:rPr>
                <w:rStyle w:val="Hyperlink"/>
                <w:noProof/>
              </w:rPr>
              <w:t>Internet safety</w:t>
            </w:r>
            <w:r w:rsidR="0081001E">
              <w:rPr>
                <w:noProof/>
                <w:webHidden/>
              </w:rPr>
              <w:tab/>
            </w:r>
            <w:r w:rsidR="0081001E">
              <w:rPr>
                <w:noProof/>
                <w:webHidden/>
              </w:rPr>
              <w:fldChar w:fldCharType="begin"/>
            </w:r>
            <w:r w:rsidR="0081001E">
              <w:rPr>
                <w:noProof/>
                <w:webHidden/>
              </w:rPr>
              <w:instrText xml:space="preserve"> PAGEREF _Toc155953427 \h </w:instrText>
            </w:r>
            <w:r w:rsidR="0081001E">
              <w:rPr>
                <w:noProof/>
                <w:webHidden/>
              </w:rPr>
            </w:r>
            <w:r w:rsidR="0081001E">
              <w:rPr>
                <w:noProof/>
                <w:webHidden/>
              </w:rPr>
              <w:fldChar w:fldCharType="separate"/>
            </w:r>
            <w:r w:rsidR="00B02D52">
              <w:rPr>
                <w:noProof/>
                <w:webHidden/>
              </w:rPr>
              <w:t>7</w:t>
            </w:r>
            <w:r w:rsidR="0081001E">
              <w:rPr>
                <w:noProof/>
                <w:webHidden/>
              </w:rPr>
              <w:fldChar w:fldCharType="end"/>
            </w:r>
          </w:hyperlink>
        </w:p>
        <w:p w14:paraId="388CA76C" w14:textId="5854017A" w:rsidR="0081001E" w:rsidRDefault="00000000">
          <w:pPr>
            <w:pStyle w:val="TOC1"/>
            <w:tabs>
              <w:tab w:val="left" w:pos="660"/>
              <w:tab w:val="right" w:leader="dot" w:pos="9016"/>
            </w:tabs>
            <w:rPr>
              <w:rFonts w:eastAsiaTheme="minorEastAsia"/>
              <w:noProof/>
              <w:kern w:val="2"/>
              <w:lang w:eastAsia="en-GB"/>
              <w14:ligatures w14:val="standardContextual"/>
            </w:rPr>
          </w:pPr>
          <w:hyperlink w:anchor="_Toc155953428" w:history="1">
            <w:r w:rsidR="0081001E" w:rsidRPr="00AB2873">
              <w:rPr>
                <w:rStyle w:val="Hyperlink"/>
                <w:noProof/>
              </w:rPr>
              <w:t>10.</w:t>
            </w:r>
            <w:r w:rsidR="0081001E">
              <w:rPr>
                <w:rFonts w:eastAsiaTheme="minorEastAsia"/>
                <w:noProof/>
                <w:kern w:val="2"/>
                <w:lang w:eastAsia="en-GB"/>
                <w14:ligatures w14:val="standardContextual"/>
              </w:rPr>
              <w:tab/>
            </w:r>
            <w:r w:rsidR="0081001E" w:rsidRPr="00AB2873">
              <w:rPr>
                <w:rStyle w:val="Hyperlink"/>
                <w:noProof/>
              </w:rPr>
              <w:t>Training</w:t>
            </w:r>
            <w:r w:rsidR="0081001E">
              <w:rPr>
                <w:noProof/>
                <w:webHidden/>
              </w:rPr>
              <w:tab/>
            </w:r>
            <w:r w:rsidR="0081001E">
              <w:rPr>
                <w:noProof/>
                <w:webHidden/>
              </w:rPr>
              <w:fldChar w:fldCharType="begin"/>
            </w:r>
            <w:r w:rsidR="0081001E">
              <w:rPr>
                <w:noProof/>
                <w:webHidden/>
              </w:rPr>
              <w:instrText xml:space="preserve"> PAGEREF _Toc155953428 \h </w:instrText>
            </w:r>
            <w:r w:rsidR="0081001E">
              <w:rPr>
                <w:noProof/>
                <w:webHidden/>
              </w:rPr>
            </w:r>
            <w:r w:rsidR="0081001E">
              <w:rPr>
                <w:noProof/>
                <w:webHidden/>
              </w:rPr>
              <w:fldChar w:fldCharType="separate"/>
            </w:r>
            <w:r w:rsidR="00B02D52">
              <w:rPr>
                <w:noProof/>
                <w:webHidden/>
              </w:rPr>
              <w:t>7</w:t>
            </w:r>
            <w:r w:rsidR="0081001E">
              <w:rPr>
                <w:noProof/>
                <w:webHidden/>
              </w:rPr>
              <w:fldChar w:fldCharType="end"/>
            </w:r>
          </w:hyperlink>
        </w:p>
        <w:p w14:paraId="06FFB859" w14:textId="3222F970" w:rsidR="0081001E" w:rsidRDefault="00000000">
          <w:pPr>
            <w:pStyle w:val="TOC1"/>
            <w:tabs>
              <w:tab w:val="left" w:pos="660"/>
              <w:tab w:val="right" w:leader="dot" w:pos="9016"/>
            </w:tabs>
            <w:rPr>
              <w:rFonts w:eastAsiaTheme="minorEastAsia"/>
              <w:noProof/>
              <w:kern w:val="2"/>
              <w:lang w:eastAsia="en-GB"/>
              <w14:ligatures w14:val="standardContextual"/>
            </w:rPr>
          </w:pPr>
          <w:hyperlink w:anchor="_Toc155953429" w:history="1">
            <w:r w:rsidR="0081001E" w:rsidRPr="00AB2873">
              <w:rPr>
                <w:rStyle w:val="Hyperlink"/>
                <w:noProof/>
              </w:rPr>
              <w:t>11.</w:t>
            </w:r>
            <w:r w:rsidR="0081001E">
              <w:rPr>
                <w:rFonts w:eastAsiaTheme="minorEastAsia"/>
                <w:noProof/>
                <w:kern w:val="2"/>
                <w:lang w:eastAsia="en-GB"/>
                <w14:ligatures w14:val="standardContextual"/>
              </w:rPr>
              <w:tab/>
            </w:r>
            <w:r w:rsidR="0081001E" w:rsidRPr="00AB2873">
              <w:rPr>
                <w:rStyle w:val="Hyperlink"/>
                <w:noProof/>
              </w:rPr>
              <w:t>Safer recruitment</w:t>
            </w:r>
            <w:r w:rsidR="0081001E">
              <w:rPr>
                <w:noProof/>
                <w:webHidden/>
              </w:rPr>
              <w:tab/>
            </w:r>
            <w:r w:rsidR="0081001E">
              <w:rPr>
                <w:noProof/>
                <w:webHidden/>
              </w:rPr>
              <w:fldChar w:fldCharType="begin"/>
            </w:r>
            <w:r w:rsidR="0081001E">
              <w:rPr>
                <w:noProof/>
                <w:webHidden/>
              </w:rPr>
              <w:instrText xml:space="preserve"> PAGEREF _Toc155953429 \h </w:instrText>
            </w:r>
            <w:r w:rsidR="0081001E">
              <w:rPr>
                <w:noProof/>
                <w:webHidden/>
              </w:rPr>
            </w:r>
            <w:r w:rsidR="0081001E">
              <w:rPr>
                <w:noProof/>
                <w:webHidden/>
              </w:rPr>
              <w:fldChar w:fldCharType="separate"/>
            </w:r>
            <w:r w:rsidR="00B02D52">
              <w:rPr>
                <w:noProof/>
                <w:webHidden/>
              </w:rPr>
              <w:t>8</w:t>
            </w:r>
            <w:r w:rsidR="0081001E">
              <w:rPr>
                <w:noProof/>
                <w:webHidden/>
              </w:rPr>
              <w:fldChar w:fldCharType="end"/>
            </w:r>
          </w:hyperlink>
        </w:p>
        <w:p w14:paraId="1B4FE735" w14:textId="508C0F9A" w:rsidR="0081001E" w:rsidRDefault="00000000">
          <w:pPr>
            <w:pStyle w:val="TOC1"/>
            <w:tabs>
              <w:tab w:val="right" w:leader="dot" w:pos="9016"/>
            </w:tabs>
            <w:rPr>
              <w:rFonts w:eastAsiaTheme="minorEastAsia"/>
              <w:noProof/>
              <w:kern w:val="2"/>
              <w:lang w:eastAsia="en-GB"/>
              <w14:ligatures w14:val="standardContextual"/>
            </w:rPr>
          </w:pPr>
          <w:hyperlink w:anchor="_Toc155953430" w:history="1">
            <w:r w:rsidR="0081001E" w:rsidRPr="00AB2873">
              <w:rPr>
                <w:rStyle w:val="Hyperlink"/>
                <w:noProof/>
              </w:rPr>
              <w:t>ASSOCIATED POLICIES</w:t>
            </w:r>
            <w:r w:rsidR="0081001E">
              <w:rPr>
                <w:noProof/>
                <w:webHidden/>
              </w:rPr>
              <w:tab/>
            </w:r>
            <w:r w:rsidR="0081001E">
              <w:rPr>
                <w:noProof/>
                <w:webHidden/>
              </w:rPr>
              <w:fldChar w:fldCharType="begin"/>
            </w:r>
            <w:r w:rsidR="0081001E">
              <w:rPr>
                <w:noProof/>
                <w:webHidden/>
              </w:rPr>
              <w:instrText xml:space="preserve"> PAGEREF _Toc155953430 \h </w:instrText>
            </w:r>
            <w:r w:rsidR="0081001E">
              <w:rPr>
                <w:noProof/>
                <w:webHidden/>
              </w:rPr>
            </w:r>
            <w:r w:rsidR="0081001E">
              <w:rPr>
                <w:noProof/>
                <w:webHidden/>
              </w:rPr>
              <w:fldChar w:fldCharType="separate"/>
            </w:r>
            <w:r w:rsidR="00B02D52">
              <w:rPr>
                <w:noProof/>
                <w:webHidden/>
              </w:rPr>
              <w:t>8</w:t>
            </w:r>
            <w:r w:rsidR="0081001E">
              <w:rPr>
                <w:noProof/>
                <w:webHidden/>
              </w:rPr>
              <w:fldChar w:fldCharType="end"/>
            </w:r>
          </w:hyperlink>
        </w:p>
        <w:p w14:paraId="14256560" w14:textId="63658A8F" w:rsidR="00C633F0" w:rsidRDefault="00C633F0">
          <w:r w:rsidRPr="00776DC9">
            <w:rPr>
              <w:b/>
              <w:bCs/>
              <w:noProof/>
            </w:rPr>
            <w:fldChar w:fldCharType="end"/>
          </w:r>
        </w:p>
      </w:sdtContent>
    </w:sdt>
    <w:p w14:paraId="79AEC89F" w14:textId="77777777" w:rsidR="00C633F0" w:rsidRDefault="00C633F0" w:rsidP="00A55B0B">
      <w:pPr>
        <w:pStyle w:val="HeadlingPlain"/>
        <w:sectPr w:rsidR="00C633F0" w:rsidSect="005B05DF">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p>
    <w:p w14:paraId="4153772B" w14:textId="77777777" w:rsidR="00071358" w:rsidRPr="00776DC9" w:rsidRDefault="001D0BAE" w:rsidP="0006748F">
      <w:pPr>
        <w:pStyle w:val="HeadlingPlain"/>
        <w:numPr>
          <w:ilvl w:val="0"/>
          <w:numId w:val="11"/>
        </w:numPr>
        <w:rPr>
          <w:sz w:val="22"/>
          <w:szCs w:val="22"/>
        </w:rPr>
      </w:pPr>
      <w:bookmarkStart w:id="0" w:name="_Toc155953417"/>
      <w:r w:rsidRPr="00776DC9">
        <w:rPr>
          <w:sz w:val="22"/>
          <w:szCs w:val="22"/>
        </w:rPr>
        <w:lastRenderedPageBreak/>
        <w:t>Introduction</w:t>
      </w:r>
      <w:bookmarkEnd w:id="0"/>
    </w:p>
    <w:p w14:paraId="3A0F8CC1" w14:textId="000F638A" w:rsidR="001D0BAE" w:rsidRDefault="0006748F" w:rsidP="001D0BAE">
      <w:pPr>
        <w:spacing w:before="240"/>
      </w:pPr>
      <w:r>
        <w:t xml:space="preserve">Schools have a responsibility under the </w:t>
      </w:r>
      <w:hyperlink r:id="rId14" w:history="1">
        <w:r w:rsidRPr="0006748F">
          <w:rPr>
            <w:rStyle w:val="Hyperlink"/>
          </w:rPr>
          <w:t>Prevent Duty</w:t>
        </w:r>
      </w:hyperlink>
      <w:r>
        <w:t xml:space="preserve">, which is statutory guidance issued under section 29 of the </w:t>
      </w:r>
      <w:hyperlink r:id="rId15" w:history="1">
        <w:r w:rsidRPr="007844F0">
          <w:rPr>
            <w:rStyle w:val="Hyperlink"/>
          </w:rPr>
          <w:t>Counter-Terrorism and Security Act 2015</w:t>
        </w:r>
      </w:hyperlink>
      <w:r>
        <w:t xml:space="preserve">, to have ‘due regard to the need to prevent people from being drawn into terrorism’. </w:t>
      </w:r>
    </w:p>
    <w:p w14:paraId="2C3E3B94" w14:textId="60EFF54B" w:rsidR="0006748F" w:rsidRDefault="007659FC" w:rsidP="001D0BAE">
      <w:pPr>
        <w:spacing w:before="240"/>
      </w:pPr>
      <w:r>
        <w:t xml:space="preserve">Yorkshire Causeway Schools Trust </w:t>
      </w:r>
      <w:r w:rsidR="0006748F">
        <w:t>recognise that part of the</w:t>
      </w:r>
      <w:r w:rsidR="007844F0">
        <w:t xml:space="preserve"> continuous</w:t>
      </w:r>
      <w:r w:rsidR="0006748F">
        <w:t xml:space="preserve"> commitment to safeguarding children from all risks and harm</w:t>
      </w:r>
      <w:r w:rsidR="007844F0">
        <w:t xml:space="preserve"> also</w:t>
      </w:r>
      <w:r w:rsidR="0006748F">
        <w:t xml:space="preserve"> means protecting them from extremism. This include</w:t>
      </w:r>
      <w:r w:rsidR="007844F0">
        <w:t>s</w:t>
      </w:r>
      <w:r w:rsidR="0006748F">
        <w:t xml:space="preserve"> educating children about extremism, recognising those who may be </w:t>
      </w:r>
      <w:r>
        <w:t>suscepti</w:t>
      </w:r>
      <w:r w:rsidR="0006748F">
        <w:t xml:space="preserve">ble, </w:t>
      </w:r>
      <w:r w:rsidR="007844F0">
        <w:t xml:space="preserve">and taking steps to prevent children becoming radicalised. </w:t>
      </w:r>
      <w:r w:rsidR="0006748F">
        <w:t xml:space="preserve">  </w:t>
      </w:r>
    </w:p>
    <w:p w14:paraId="201E7A80" w14:textId="73F28430" w:rsidR="006A69E6" w:rsidRDefault="006A69E6" w:rsidP="006A69E6">
      <w:r>
        <w:t xml:space="preserve">The Prevent lead for </w:t>
      </w:r>
      <w:r w:rsidR="00EB5AFA">
        <w:t>Richard Taylor CE Primary School is Andrew Symonds</w:t>
      </w:r>
    </w:p>
    <w:p w14:paraId="4C4E553E" w14:textId="3C60C617" w:rsidR="006A69E6" w:rsidRDefault="006A69E6" w:rsidP="006A69E6">
      <w:r>
        <w:t xml:space="preserve">The Designated Safeguarding Lead (DSL) is </w:t>
      </w:r>
      <w:r w:rsidR="00EB5AFA">
        <w:t>Andrew Symonds</w:t>
      </w:r>
    </w:p>
    <w:p w14:paraId="6740959E" w14:textId="7125CC6F" w:rsidR="006A69E6" w:rsidRDefault="006A69E6" w:rsidP="006A69E6">
      <w:r>
        <w:t xml:space="preserve">The governor responsible for safeguarding is </w:t>
      </w:r>
      <w:r w:rsidR="00EB5AFA">
        <w:t xml:space="preserve">Jan Johnson </w:t>
      </w:r>
    </w:p>
    <w:p w14:paraId="72291370" w14:textId="5BE106B6" w:rsidR="007844F0" w:rsidRDefault="007844F0" w:rsidP="007844F0">
      <w:pPr>
        <w:pStyle w:val="HeadlingPlain"/>
        <w:numPr>
          <w:ilvl w:val="0"/>
          <w:numId w:val="11"/>
        </w:numPr>
      </w:pPr>
      <w:bookmarkStart w:id="1" w:name="_Toc155953418"/>
      <w:r>
        <w:t>Guidance</w:t>
      </w:r>
      <w:bookmarkEnd w:id="1"/>
    </w:p>
    <w:p w14:paraId="62CB48A2" w14:textId="3469DCF8" w:rsidR="007844F0" w:rsidRDefault="007844F0" w:rsidP="007844F0">
      <w:r>
        <w:t xml:space="preserve">Prevent is a key part of the government’s strategy to stop people becoming terrorists or supporting terrorism, and early intervention is at the heart of that. It is about recognising, supporting and protecting people who might be susceptible to radicalisation. </w:t>
      </w:r>
    </w:p>
    <w:p w14:paraId="5C4EEE0F" w14:textId="4FF6561C" w:rsidR="007844F0" w:rsidRDefault="007844F0" w:rsidP="007844F0">
      <w:r>
        <w:t>The Prevent strategy objectives are:</w:t>
      </w:r>
    </w:p>
    <w:p w14:paraId="6725EC79" w14:textId="0C138E16" w:rsidR="001010D6" w:rsidRDefault="007844F0" w:rsidP="007844F0">
      <w:pPr>
        <w:pStyle w:val="ListParagraph"/>
        <w:numPr>
          <w:ilvl w:val="0"/>
          <w:numId w:val="12"/>
        </w:numPr>
      </w:pPr>
      <w:r>
        <w:t>respond to the ideological challenge of terrorism and the threat we face from those who promote it</w:t>
      </w:r>
    </w:p>
    <w:p w14:paraId="4D2400CA" w14:textId="653E9B4F" w:rsidR="001010D6" w:rsidRDefault="007844F0" w:rsidP="007844F0">
      <w:pPr>
        <w:pStyle w:val="ListParagraph"/>
        <w:numPr>
          <w:ilvl w:val="0"/>
          <w:numId w:val="12"/>
        </w:numPr>
      </w:pPr>
      <w:r>
        <w:t>prevent people from being drawn into terrorism and ensure that they are given appropriate advice and support</w:t>
      </w:r>
    </w:p>
    <w:p w14:paraId="38524CC9" w14:textId="2DD9242E" w:rsidR="007844F0" w:rsidRPr="00776DC9" w:rsidRDefault="007844F0" w:rsidP="007844F0">
      <w:pPr>
        <w:pStyle w:val="ListParagraph"/>
        <w:numPr>
          <w:ilvl w:val="0"/>
          <w:numId w:val="12"/>
        </w:numPr>
      </w:pPr>
      <w:r>
        <w:t>work with sectors and institutions where there are risks of radicalisation that we need to address.</w:t>
      </w:r>
    </w:p>
    <w:p w14:paraId="51C899A0" w14:textId="193DAC61" w:rsidR="00057CDD" w:rsidRDefault="001010D6" w:rsidP="001010D6">
      <w:r>
        <w:t>The following documents should be read in conjunction with this document to support the ongoing commitment to keeping children safe.</w:t>
      </w:r>
    </w:p>
    <w:p w14:paraId="6E0ACC0B" w14:textId="26A96AAC" w:rsidR="001010D6" w:rsidRDefault="00000000" w:rsidP="001010D6">
      <w:pPr>
        <w:pStyle w:val="ListParagraph"/>
        <w:numPr>
          <w:ilvl w:val="0"/>
          <w:numId w:val="13"/>
        </w:numPr>
      </w:pPr>
      <w:hyperlink r:id="rId16" w:history="1">
        <w:r w:rsidR="001010D6" w:rsidRPr="001010D6">
          <w:rPr>
            <w:rStyle w:val="Hyperlink"/>
          </w:rPr>
          <w:t>Prevent Duty Guidance</w:t>
        </w:r>
      </w:hyperlink>
      <w:r w:rsidR="001010D6">
        <w:t xml:space="preserve"> (Revised 202</w:t>
      </w:r>
      <w:r w:rsidR="00707B23">
        <w:t>3</w:t>
      </w:r>
      <w:r w:rsidR="001010D6">
        <w:t>)</w:t>
      </w:r>
    </w:p>
    <w:p w14:paraId="2E4AEDDE" w14:textId="0E2BEBFE" w:rsidR="001010D6" w:rsidRDefault="00000000" w:rsidP="001010D6">
      <w:pPr>
        <w:pStyle w:val="ListParagraph"/>
        <w:numPr>
          <w:ilvl w:val="0"/>
          <w:numId w:val="13"/>
        </w:numPr>
      </w:pPr>
      <w:hyperlink r:id="rId17" w:history="1">
        <w:r w:rsidR="001010D6" w:rsidRPr="007844F0">
          <w:rPr>
            <w:rStyle w:val="Hyperlink"/>
          </w:rPr>
          <w:t>Counter-Terrorism and Security Act 2015</w:t>
        </w:r>
      </w:hyperlink>
    </w:p>
    <w:p w14:paraId="09467B33" w14:textId="75971F63" w:rsidR="001010D6" w:rsidRDefault="00000000" w:rsidP="001010D6">
      <w:pPr>
        <w:pStyle w:val="ListParagraph"/>
        <w:numPr>
          <w:ilvl w:val="0"/>
          <w:numId w:val="13"/>
        </w:numPr>
      </w:pPr>
      <w:hyperlink r:id="rId18" w:history="1">
        <w:r w:rsidR="001010D6" w:rsidRPr="001010D6">
          <w:rPr>
            <w:rStyle w:val="Hyperlink"/>
          </w:rPr>
          <w:t>Keeping Children Safe in Education</w:t>
        </w:r>
      </w:hyperlink>
      <w:r w:rsidR="001010D6">
        <w:t xml:space="preserve"> </w:t>
      </w:r>
    </w:p>
    <w:p w14:paraId="46093688" w14:textId="473DE6EA" w:rsidR="001010D6" w:rsidRDefault="00000000" w:rsidP="001010D6">
      <w:pPr>
        <w:pStyle w:val="ListParagraph"/>
        <w:numPr>
          <w:ilvl w:val="0"/>
          <w:numId w:val="13"/>
        </w:numPr>
      </w:pPr>
      <w:hyperlink r:id="rId19" w:history="1">
        <w:r w:rsidR="001010D6" w:rsidRPr="001010D6">
          <w:rPr>
            <w:rStyle w:val="Hyperlink"/>
          </w:rPr>
          <w:t xml:space="preserve">Working Together to Safeguard Children </w:t>
        </w:r>
      </w:hyperlink>
      <w:r w:rsidR="001010D6">
        <w:t xml:space="preserve"> </w:t>
      </w:r>
    </w:p>
    <w:p w14:paraId="17BA630C" w14:textId="3838D2C0" w:rsidR="00057CDD" w:rsidRDefault="001010D6" w:rsidP="001010D6">
      <w:r>
        <w:t>For non-statutory guidance</w:t>
      </w:r>
      <w:r w:rsidR="00CE1D75">
        <w:t>,</w:t>
      </w:r>
      <w:r>
        <w:t xml:space="preserve"> please also refer to </w:t>
      </w:r>
      <w:hyperlink r:id="rId20" w:history="1">
        <w:r w:rsidRPr="00CE1D75">
          <w:rPr>
            <w:rStyle w:val="Hyperlink"/>
          </w:rPr>
          <w:t>Promoting fundamental British</w:t>
        </w:r>
        <w:r w:rsidR="00CE1D75" w:rsidRPr="00CE1D75">
          <w:rPr>
            <w:rStyle w:val="Hyperlink"/>
          </w:rPr>
          <w:t xml:space="preserve"> </w:t>
        </w:r>
        <w:r w:rsidRPr="00CE1D75">
          <w:rPr>
            <w:rStyle w:val="Hyperlink"/>
          </w:rPr>
          <w:t>values as part of</w:t>
        </w:r>
        <w:r w:rsidR="00CE1D75" w:rsidRPr="00CE1D75">
          <w:rPr>
            <w:rStyle w:val="Hyperlink"/>
          </w:rPr>
          <w:t xml:space="preserve"> </w:t>
        </w:r>
        <w:r w:rsidRPr="00CE1D75">
          <w:rPr>
            <w:rStyle w:val="Hyperlink"/>
          </w:rPr>
          <w:t>SMSC</w:t>
        </w:r>
        <w:r w:rsidR="00CE1D75" w:rsidRPr="00CE1D75">
          <w:rPr>
            <w:rStyle w:val="Hyperlink"/>
          </w:rPr>
          <w:t xml:space="preserve"> (spiritual, moral, social and cultural)</w:t>
        </w:r>
        <w:r w:rsidRPr="00CE1D75">
          <w:rPr>
            <w:rStyle w:val="Hyperlink"/>
          </w:rPr>
          <w:t xml:space="preserve"> in schools</w:t>
        </w:r>
      </w:hyperlink>
      <w:r w:rsidR="00CE1D75">
        <w:t xml:space="preserve">. </w:t>
      </w:r>
    </w:p>
    <w:p w14:paraId="76F9DE6C" w14:textId="0E0ACA0F" w:rsidR="00CE1D75" w:rsidRDefault="00990863" w:rsidP="00990863">
      <w:pPr>
        <w:pStyle w:val="HeadlingPlain"/>
        <w:numPr>
          <w:ilvl w:val="0"/>
          <w:numId w:val="11"/>
        </w:numPr>
      </w:pPr>
      <w:bookmarkStart w:id="2" w:name="_Toc155953419"/>
      <w:r>
        <w:t>Definitions</w:t>
      </w:r>
      <w:bookmarkEnd w:id="2"/>
    </w:p>
    <w:p w14:paraId="4EF6548D" w14:textId="1769A2E8" w:rsidR="00990863" w:rsidRDefault="00990863" w:rsidP="00990863">
      <w:r w:rsidRPr="00990863">
        <w:rPr>
          <w:b/>
          <w:bCs/>
        </w:rPr>
        <w:t>Extremism</w:t>
      </w:r>
      <w:r>
        <w:t xml:space="preserve"> is defined as a vocal or active opposition to fundamental British values, including democracy, the rule of law, individual liberty and mutual respect and tolerance of those with different faiths and beliefs. </w:t>
      </w:r>
    </w:p>
    <w:p w14:paraId="3E542511" w14:textId="4E25D6D3" w:rsidR="00990863" w:rsidRDefault="00990863" w:rsidP="00990863">
      <w:r w:rsidRPr="00990863">
        <w:rPr>
          <w:b/>
          <w:bCs/>
        </w:rPr>
        <w:lastRenderedPageBreak/>
        <w:t xml:space="preserve">Radicalisation </w:t>
      </w:r>
      <w:r>
        <w:t xml:space="preserve">is the process by which people come to support terrorism and extremist ideologies. </w:t>
      </w:r>
    </w:p>
    <w:p w14:paraId="0C763249" w14:textId="7E4DC390" w:rsidR="00990863" w:rsidRDefault="00990863" w:rsidP="00990863">
      <w:r w:rsidRPr="00990863">
        <w:rPr>
          <w:b/>
          <w:bCs/>
        </w:rPr>
        <w:t>British values</w:t>
      </w:r>
      <w:r>
        <w:t xml:space="preserve"> are democracy, the rule of law, individual liberty and mutual respect and tolerance of those with different faiths and beliefs. </w:t>
      </w:r>
    </w:p>
    <w:p w14:paraId="004F233F" w14:textId="7FE37533" w:rsidR="006A69E6" w:rsidRDefault="006A69E6" w:rsidP="00990863">
      <w:pPr>
        <w:rPr>
          <w:b/>
          <w:bCs/>
        </w:rPr>
      </w:pPr>
      <w:r>
        <w:rPr>
          <w:b/>
          <w:bCs/>
        </w:rPr>
        <w:t xml:space="preserve">Ideology </w:t>
      </w:r>
      <w:r w:rsidRPr="006A69E6">
        <w:t>is a set of beliefs.</w:t>
      </w:r>
    </w:p>
    <w:p w14:paraId="085456C3" w14:textId="43E9EDA8" w:rsidR="006A69E6" w:rsidRDefault="006A69E6" w:rsidP="00990863">
      <w:r w:rsidRPr="006A69E6">
        <w:rPr>
          <w:b/>
          <w:bCs/>
        </w:rPr>
        <w:t>Terrorism</w:t>
      </w:r>
      <w:r>
        <w:t xml:space="preserve"> is a violent action against people or property, designed to create fear and advance a political, religious or ideological cause.</w:t>
      </w:r>
    </w:p>
    <w:p w14:paraId="11C8216C" w14:textId="7F3F63BC" w:rsidR="006A69E6" w:rsidRDefault="006A69E6" w:rsidP="00E62305">
      <w:pPr>
        <w:pStyle w:val="HeadlingPlain"/>
        <w:numPr>
          <w:ilvl w:val="0"/>
          <w:numId w:val="11"/>
        </w:numPr>
      </w:pPr>
      <w:bookmarkStart w:id="3" w:name="_Toc155953420"/>
      <w:r>
        <w:t>Roles and responsibilities</w:t>
      </w:r>
      <w:bookmarkEnd w:id="3"/>
    </w:p>
    <w:p w14:paraId="00A58D2B" w14:textId="06FDF479" w:rsidR="00452FE5" w:rsidRDefault="00452FE5" w:rsidP="006A69E6">
      <w:pPr>
        <w:rPr>
          <w:b/>
          <w:bCs/>
        </w:rPr>
      </w:pPr>
      <w:r>
        <w:rPr>
          <w:b/>
          <w:bCs/>
        </w:rPr>
        <w:t xml:space="preserve">Role of the Trust Board </w:t>
      </w:r>
    </w:p>
    <w:p w14:paraId="10CD799C" w14:textId="3191E5E9" w:rsidR="00452FE5" w:rsidRDefault="00452FE5" w:rsidP="006A69E6">
      <w:pPr>
        <w:rPr>
          <w:b/>
          <w:bCs/>
        </w:rPr>
      </w:pPr>
      <w:r w:rsidRPr="00452FE5">
        <w:t xml:space="preserve">The Trust Board has overall responsibility </w:t>
      </w:r>
      <w:r>
        <w:t>for ensuring that its schools meet the statutory duties with regards to preventing radicalisation</w:t>
      </w:r>
      <w:r w:rsidR="0098136D">
        <w:t xml:space="preserve">, with the </w:t>
      </w:r>
      <w:proofErr w:type="gramStart"/>
      <w:r w:rsidR="0098136D">
        <w:t>day to day</w:t>
      </w:r>
      <w:proofErr w:type="gramEnd"/>
      <w:r w:rsidR="0098136D">
        <w:t xml:space="preserve"> responsibilities being delegate to the Headteacher.</w:t>
      </w:r>
    </w:p>
    <w:p w14:paraId="3263B5F1" w14:textId="1C799DC0" w:rsidR="006A69E6" w:rsidRPr="006A69E6" w:rsidRDefault="006A69E6" w:rsidP="006A69E6">
      <w:pPr>
        <w:rPr>
          <w:b/>
          <w:bCs/>
        </w:rPr>
      </w:pPr>
      <w:r w:rsidRPr="006A69E6">
        <w:rPr>
          <w:b/>
          <w:bCs/>
        </w:rPr>
        <w:t xml:space="preserve">Role of the </w:t>
      </w:r>
      <w:r w:rsidR="00226336">
        <w:rPr>
          <w:b/>
          <w:bCs/>
        </w:rPr>
        <w:t>g</w:t>
      </w:r>
      <w:r w:rsidRPr="006A69E6">
        <w:rPr>
          <w:b/>
          <w:bCs/>
        </w:rPr>
        <w:t xml:space="preserve">overning </w:t>
      </w:r>
      <w:r w:rsidR="00226336">
        <w:rPr>
          <w:b/>
          <w:bCs/>
        </w:rPr>
        <w:t>b</w:t>
      </w:r>
      <w:r w:rsidRPr="006A69E6">
        <w:rPr>
          <w:b/>
          <w:bCs/>
        </w:rPr>
        <w:t>ody</w:t>
      </w:r>
    </w:p>
    <w:p w14:paraId="58C3EF3B" w14:textId="33CDED94" w:rsidR="006A69E6" w:rsidRDefault="006A69E6" w:rsidP="006A69E6">
      <w:r>
        <w:t xml:space="preserve">The governor responsible for safeguarding </w:t>
      </w:r>
      <w:r w:rsidR="00226336">
        <w:t>will liaise with the headteacher about issues to do with protecting children from radicalisation.</w:t>
      </w:r>
    </w:p>
    <w:p w14:paraId="5E0EDFE3" w14:textId="659C5A1B" w:rsidR="00226336" w:rsidRPr="00226336" w:rsidRDefault="00226336" w:rsidP="006A69E6">
      <w:pPr>
        <w:rPr>
          <w:b/>
          <w:bCs/>
        </w:rPr>
      </w:pPr>
      <w:r w:rsidRPr="00226336">
        <w:rPr>
          <w:b/>
          <w:bCs/>
        </w:rPr>
        <w:t>Role of the headteacher</w:t>
      </w:r>
    </w:p>
    <w:p w14:paraId="3A399B05" w14:textId="589CF2C7" w:rsidR="00226336" w:rsidRDefault="00226336" w:rsidP="006A69E6">
      <w:r>
        <w:t xml:space="preserve">The headteacher will </w:t>
      </w:r>
      <w:r w:rsidRPr="00226336">
        <w:t>ensure that the school and its staff respond to preventing radicalisation on a day-to-day basis</w:t>
      </w:r>
      <w:r>
        <w:t xml:space="preserve">. They will ensure that the school’s </w:t>
      </w:r>
      <w:r w:rsidRPr="00226336">
        <w:t xml:space="preserve">curriculum addresses the issues involved in radicalisation </w:t>
      </w:r>
      <w:r>
        <w:t>and</w:t>
      </w:r>
      <w:r w:rsidRPr="00226336">
        <w:t xml:space="preserve"> that staff conduct is consistent with preventing radicalisation.</w:t>
      </w:r>
    </w:p>
    <w:p w14:paraId="181AA1F9" w14:textId="59EA3110" w:rsidR="00226336" w:rsidRPr="001B1CF5" w:rsidRDefault="001B1CF5" w:rsidP="006A69E6">
      <w:pPr>
        <w:rPr>
          <w:b/>
          <w:bCs/>
        </w:rPr>
      </w:pPr>
      <w:r w:rsidRPr="001B1CF5">
        <w:rPr>
          <w:b/>
          <w:bCs/>
        </w:rPr>
        <w:t>Role of the Designated Safeguarding Lead</w:t>
      </w:r>
    </w:p>
    <w:p w14:paraId="08692648" w14:textId="6349282A" w:rsidR="001B1CF5" w:rsidRDefault="001B1CF5" w:rsidP="006A69E6">
      <w:r>
        <w:t xml:space="preserve">It is the role of the DSL to: </w:t>
      </w:r>
    </w:p>
    <w:p w14:paraId="577D5C1F" w14:textId="65986EDE" w:rsidR="001B1CF5" w:rsidRDefault="001B1CF5" w:rsidP="001B1CF5">
      <w:pPr>
        <w:pStyle w:val="ListParagraph"/>
        <w:numPr>
          <w:ilvl w:val="0"/>
          <w:numId w:val="15"/>
        </w:numPr>
      </w:pPr>
      <w:r>
        <w:t xml:space="preserve">ensure that staff understand the issues of radicalisation, can recognise the signs of </w:t>
      </w:r>
      <w:r w:rsidR="007659FC">
        <w:t>suscepti</w:t>
      </w:r>
      <w:r>
        <w:t>bility or radicalisation and know how to refer their concerns</w:t>
      </w:r>
    </w:p>
    <w:p w14:paraId="7F440386" w14:textId="25FB9F26" w:rsidR="001B1CF5" w:rsidRDefault="001B1CF5" w:rsidP="001B1CF5">
      <w:pPr>
        <w:pStyle w:val="ListParagraph"/>
        <w:numPr>
          <w:ilvl w:val="0"/>
          <w:numId w:val="15"/>
        </w:numPr>
      </w:pPr>
      <w:r>
        <w:t xml:space="preserve">receive safeguarding concerns about children and young people who may be </w:t>
      </w:r>
      <w:r w:rsidR="007659FC">
        <w:t>susceptib</w:t>
      </w:r>
      <w:r>
        <w:t>le to the risk of radicalisation or are showing signs of radicalisation</w:t>
      </w:r>
    </w:p>
    <w:p w14:paraId="6F482BF4" w14:textId="63199775" w:rsidR="001B1CF5" w:rsidRDefault="001B1CF5" w:rsidP="001B1CF5">
      <w:pPr>
        <w:pStyle w:val="ListParagraph"/>
        <w:numPr>
          <w:ilvl w:val="0"/>
          <w:numId w:val="15"/>
        </w:numPr>
      </w:pPr>
      <w:r>
        <w:t>make referrals to appropriate agencies regarding concerns about radicalisation</w:t>
      </w:r>
    </w:p>
    <w:p w14:paraId="3ECB2EA5" w14:textId="4700B5BA" w:rsidR="001B1CF5" w:rsidRDefault="001B1CF5" w:rsidP="001B1CF5">
      <w:pPr>
        <w:pStyle w:val="ListParagraph"/>
        <w:numPr>
          <w:ilvl w:val="0"/>
          <w:numId w:val="15"/>
        </w:numPr>
      </w:pPr>
      <w:r>
        <w:t>liaise with partners, including the local authority and the police</w:t>
      </w:r>
    </w:p>
    <w:p w14:paraId="0896B8F0" w14:textId="4A792639" w:rsidR="001B1CF5" w:rsidRDefault="001B1CF5" w:rsidP="001B1CF5">
      <w:pPr>
        <w:pStyle w:val="ListParagraph"/>
        <w:numPr>
          <w:ilvl w:val="0"/>
          <w:numId w:val="15"/>
        </w:numPr>
      </w:pPr>
      <w:r>
        <w:t>report to the governing body on these matters.</w:t>
      </w:r>
    </w:p>
    <w:p w14:paraId="5CA962A0" w14:textId="01209AD8" w:rsidR="00BB1AC2" w:rsidRDefault="00BB1AC2" w:rsidP="006A69E6">
      <w:pPr>
        <w:rPr>
          <w:b/>
          <w:bCs/>
        </w:rPr>
      </w:pPr>
      <w:r>
        <w:rPr>
          <w:b/>
          <w:bCs/>
        </w:rPr>
        <w:t>Role of the Prevent Lead</w:t>
      </w:r>
    </w:p>
    <w:p w14:paraId="3C504216" w14:textId="77777777" w:rsidR="00452FE5" w:rsidRDefault="00BB1AC2" w:rsidP="006A69E6">
      <w:r w:rsidRPr="00BB1AC2">
        <w:t xml:space="preserve">It is the responsibility of </w:t>
      </w:r>
      <w:r>
        <w:t>the Prevent Lead in school to</w:t>
      </w:r>
      <w:r w:rsidR="00452FE5">
        <w:t>:</w:t>
      </w:r>
    </w:p>
    <w:p w14:paraId="053EAE25" w14:textId="659D5920" w:rsidR="00BB1AC2" w:rsidRDefault="00BB1AC2" w:rsidP="00452FE5">
      <w:pPr>
        <w:pStyle w:val="ListParagraph"/>
        <w:numPr>
          <w:ilvl w:val="0"/>
          <w:numId w:val="25"/>
        </w:numPr>
      </w:pPr>
      <w:r>
        <w:t>ensure that staff complete appropriate Prevent training and are provided with updates as required through the regular safeguarding update channels (staff briefings/newsletters/email updates)</w:t>
      </w:r>
    </w:p>
    <w:p w14:paraId="6A1A2F54" w14:textId="6A1B54D4" w:rsidR="00452FE5" w:rsidRPr="00BB1AC2" w:rsidRDefault="00452FE5" w:rsidP="00452FE5">
      <w:pPr>
        <w:pStyle w:val="ListParagraph"/>
        <w:numPr>
          <w:ilvl w:val="0"/>
          <w:numId w:val="25"/>
        </w:numPr>
      </w:pPr>
      <w:r>
        <w:lastRenderedPageBreak/>
        <w:t xml:space="preserve">undertake risk assessments to </w:t>
      </w:r>
      <w:r w:rsidR="00A30B27">
        <w:t>assess</w:t>
      </w:r>
      <w:r>
        <w:t xml:space="preserve"> the risks of pupils being drawn into terrorism, including both online and offline threats.</w:t>
      </w:r>
    </w:p>
    <w:p w14:paraId="0788BB03" w14:textId="76560276" w:rsidR="00226336" w:rsidRDefault="001B1CF5" w:rsidP="006A69E6">
      <w:pPr>
        <w:rPr>
          <w:b/>
          <w:bCs/>
        </w:rPr>
      </w:pPr>
      <w:r>
        <w:rPr>
          <w:b/>
          <w:bCs/>
        </w:rPr>
        <w:t>Role of all staff</w:t>
      </w:r>
    </w:p>
    <w:p w14:paraId="6D90D87A" w14:textId="2B62E967" w:rsidR="001B1CF5" w:rsidRDefault="001B1CF5" w:rsidP="006A69E6">
      <w:r>
        <w:t xml:space="preserve">All staff should understand the issues of radicalisation, recognise signs of </w:t>
      </w:r>
      <w:r w:rsidR="007659FC">
        <w:t>suscepti</w:t>
      </w:r>
      <w:r>
        <w:t>bility, and know how to refer their concerns.</w:t>
      </w:r>
    </w:p>
    <w:p w14:paraId="090CEA2B" w14:textId="5C438644" w:rsidR="0099560A" w:rsidRPr="0099560A" w:rsidRDefault="0099560A" w:rsidP="006A69E6">
      <w:pPr>
        <w:rPr>
          <w:b/>
          <w:bCs/>
        </w:rPr>
      </w:pPr>
      <w:r w:rsidRPr="0099560A">
        <w:rPr>
          <w:b/>
          <w:bCs/>
        </w:rPr>
        <w:t>Partnerships</w:t>
      </w:r>
    </w:p>
    <w:p w14:paraId="58C0255C" w14:textId="3090A633" w:rsidR="0099560A" w:rsidRDefault="0099560A" w:rsidP="0099560A">
      <w:r>
        <w:t xml:space="preserve">We recognise that any attempt to counter extremism and prevent radicalisation cannot be achieved by one organisation alone but relies on the sharing of information and productive partnership working. In upholding the Prevent duty the </w:t>
      </w:r>
      <w:proofErr w:type="gramStart"/>
      <w:r>
        <w:t>school works</w:t>
      </w:r>
      <w:proofErr w:type="gramEnd"/>
      <w:r>
        <w:t xml:space="preserve"> with a number of partners, including:</w:t>
      </w:r>
    </w:p>
    <w:p w14:paraId="5E662126" w14:textId="6C4EA859" w:rsidR="0099560A" w:rsidRDefault="0099560A" w:rsidP="0099560A">
      <w:pPr>
        <w:pStyle w:val="ListParagraph"/>
        <w:numPr>
          <w:ilvl w:val="0"/>
          <w:numId w:val="20"/>
        </w:numPr>
      </w:pPr>
      <w:r>
        <w:t>North Yorkshire Safeguarding Children Partnership</w:t>
      </w:r>
    </w:p>
    <w:p w14:paraId="0F1289C5" w14:textId="22427480" w:rsidR="0099560A" w:rsidRDefault="0099560A" w:rsidP="0099560A">
      <w:pPr>
        <w:pStyle w:val="ListParagraph"/>
        <w:numPr>
          <w:ilvl w:val="0"/>
          <w:numId w:val="20"/>
        </w:numPr>
      </w:pPr>
      <w:r>
        <w:t>The police and PCSOs</w:t>
      </w:r>
    </w:p>
    <w:p w14:paraId="7C7EDBC8" w14:textId="2548D4B6" w:rsidR="0099560A" w:rsidRDefault="0099560A" w:rsidP="0099560A">
      <w:pPr>
        <w:pStyle w:val="ListParagraph"/>
        <w:numPr>
          <w:ilvl w:val="0"/>
          <w:numId w:val="20"/>
        </w:numPr>
      </w:pPr>
      <w:r>
        <w:t>Social care</w:t>
      </w:r>
    </w:p>
    <w:p w14:paraId="29C281DE" w14:textId="7D6D2103" w:rsidR="0099560A" w:rsidRDefault="0099560A" w:rsidP="0099560A">
      <w:pPr>
        <w:pStyle w:val="ListParagraph"/>
        <w:numPr>
          <w:ilvl w:val="0"/>
          <w:numId w:val="20"/>
        </w:numPr>
      </w:pPr>
      <w:r>
        <w:t>Community and religious leaders</w:t>
      </w:r>
    </w:p>
    <w:p w14:paraId="25FCDF04" w14:textId="08E4528E" w:rsidR="0099560A" w:rsidRDefault="0099560A" w:rsidP="0099560A">
      <w:pPr>
        <w:pStyle w:val="ListParagraph"/>
        <w:numPr>
          <w:ilvl w:val="0"/>
          <w:numId w:val="20"/>
        </w:numPr>
      </w:pPr>
      <w:r>
        <w:t>Parents and the wider community</w:t>
      </w:r>
    </w:p>
    <w:p w14:paraId="2582D804" w14:textId="5395EB60" w:rsidR="0099560A" w:rsidRDefault="0099560A" w:rsidP="0099560A">
      <w:pPr>
        <w:pStyle w:val="ListParagraph"/>
        <w:numPr>
          <w:ilvl w:val="0"/>
          <w:numId w:val="20"/>
        </w:numPr>
      </w:pPr>
      <w:r>
        <w:t>Other educational organisations</w:t>
      </w:r>
    </w:p>
    <w:p w14:paraId="2D255EC6" w14:textId="3947BA1A" w:rsidR="00B4319C" w:rsidRDefault="00B4319C" w:rsidP="00E62305">
      <w:pPr>
        <w:pStyle w:val="HeadlingPlain"/>
        <w:numPr>
          <w:ilvl w:val="0"/>
          <w:numId w:val="11"/>
        </w:numPr>
      </w:pPr>
      <w:bookmarkStart w:id="4" w:name="_Toc155953421"/>
      <w:r>
        <w:t xml:space="preserve">Recognising risk and </w:t>
      </w:r>
      <w:r w:rsidR="007659FC">
        <w:t>susceptib</w:t>
      </w:r>
      <w:r>
        <w:t>ility</w:t>
      </w:r>
      <w:bookmarkEnd w:id="4"/>
      <w:r>
        <w:t xml:space="preserve"> </w:t>
      </w:r>
    </w:p>
    <w:p w14:paraId="31105AB0" w14:textId="41BD3177" w:rsidR="006D23D6" w:rsidRDefault="006D23D6" w:rsidP="006D23D6">
      <w:r>
        <w:t xml:space="preserve">There are no known definitive indicators that a young person is </w:t>
      </w:r>
      <w:r w:rsidR="007659FC">
        <w:t>suscepti</w:t>
      </w:r>
      <w:r>
        <w:t xml:space="preserve">ble to radicalisation, but there are </w:t>
      </w:r>
      <w:proofErr w:type="gramStart"/>
      <w:r>
        <w:t>a number of</w:t>
      </w:r>
      <w:proofErr w:type="gramEnd"/>
      <w:r>
        <w:t xml:space="preserve"> signs that together increase the risk. Signs of </w:t>
      </w:r>
      <w:r w:rsidR="007659FC">
        <w:t>suscepti</w:t>
      </w:r>
      <w:r>
        <w:t>bility include:</w:t>
      </w:r>
    </w:p>
    <w:p w14:paraId="5B73EB53" w14:textId="12541031" w:rsidR="006D23D6" w:rsidRDefault="006D23D6" w:rsidP="006D23D6">
      <w:pPr>
        <w:pStyle w:val="ListParagraph"/>
        <w:numPr>
          <w:ilvl w:val="0"/>
          <w:numId w:val="20"/>
        </w:numPr>
      </w:pPr>
      <w:r>
        <w:t>underachievement</w:t>
      </w:r>
    </w:p>
    <w:p w14:paraId="0917C3BF" w14:textId="31855BF1" w:rsidR="006D23D6" w:rsidRDefault="006D23D6" w:rsidP="006D23D6">
      <w:pPr>
        <w:pStyle w:val="ListParagraph"/>
        <w:numPr>
          <w:ilvl w:val="0"/>
          <w:numId w:val="20"/>
        </w:numPr>
      </w:pPr>
      <w:r>
        <w:t>being in possession of extremist literature</w:t>
      </w:r>
    </w:p>
    <w:p w14:paraId="6FBD1BC6" w14:textId="0823737D" w:rsidR="006D23D6" w:rsidRDefault="006D23D6" w:rsidP="006D23D6">
      <w:pPr>
        <w:pStyle w:val="ListParagraph"/>
        <w:numPr>
          <w:ilvl w:val="0"/>
          <w:numId w:val="20"/>
        </w:numPr>
      </w:pPr>
      <w:r>
        <w:t>poverty</w:t>
      </w:r>
    </w:p>
    <w:p w14:paraId="44DF6D45" w14:textId="013125E9" w:rsidR="006D23D6" w:rsidRDefault="006D23D6" w:rsidP="006D23D6">
      <w:pPr>
        <w:pStyle w:val="ListParagraph"/>
        <w:numPr>
          <w:ilvl w:val="0"/>
          <w:numId w:val="20"/>
        </w:numPr>
      </w:pPr>
      <w:r>
        <w:t>social exclusion</w:t>
      </w:r>
    </w:p>
    <w:p w14:paraId="4A6FD119" w14:textId="03A9FECF" w:rsidR="006D23D6" w:rsidRDefault="006D23D6" w:rsidP="006D23D6">
      <w:pPr>
        <w:pStyle w:val="ListParagraph"/>
        <w:numPr>
          <w:ilvl w:val="0"/>
          <w:numId w:val="20"/>
        </w:numPr>
      </w:pPr>
      <w:r>
        <w:t>traumatic events</w:t>
      </w:r>
    </w:p>
    <w:p w14:paraId="3EB58E8A" w14:textId="1849960D" w:rsidR="006D23D6" w:rsidRDefault="006D23D6" w:rsidP="006D23D6">
      <w:pPr>
        <w:pStyle w:val="ListParagraph"/>
        <w:numPr>
          <w:ilvl w:val="0"/>
          <w:numId w:val="20"/>
        </w:numPr>
      </w:pPr>
      <w:r>
        <w:t>global or national events</w:t>
      </w:r>
    </w:p>
    <w:p w14:paraId="562A1188" w14:textId="211A9210" w:rsidR="006D23D6" w:rsidRDefault="006D23D6" w:rsidP="006D23D6">
      <w:pPr>
        <w:pStyle w:val="ListParagraph"/>
        <w:numPr>
          <w:ilvl w:val="0"/>
          <w:numId w:val="20"/>
        </w:numPr>
      </w:pPr>
      <w:r>
        <w:t>religious conversion</w:t>
      </w:r>
    </w:p>
    <w:p w14:paraId="26EF8099" w14:textId="5A80D226" w:rsidR="006D23D6" w:rsidRDefault="006D23D6" w:rsidP="006D23D6">
      <w:pPr>
        <w:pStyle w:val="ListParagraph"/>
        <w:numPr>
          <w:ilvl w:val="0"/>
          <w:numId w:val="20"/>
        </w:numPr>
      </w:pPr>
      <w:r>
        <w:t>change in behaviour</w:t>
      </w:r>
    </w:p>
    <w:p w14:paraId="4D254087" w14:textId="30E28DA1" w:rsidR="006D23D6" w:rsidRDefault="006D23D6" w:rsidP="006D23D6">
      <w:pPr>
        <w:pStyle w:val="ListParagraph"/>
        <w:numPr>
          <w:ilvl w:val="0"/>
          <w:numId w:val="20"/>
        </w:numPr>
      </w:pPr>
      <w:r>
        <w:t>extremist influences</w:t>
      </w:r>
    </w:p>
    <w:p w14:paraId="292957CE" w14:textId="510A6658" w:rsidR="006D23D6" w:rsidRDefault="006D23D6" w:rsidP="006D23D6">
      <w:pPr>
        <w:pStyle w:val="ListParagraph"/>
        <w:numPr>
          <w:ilvl w:val="0"/>
          <w:numId w:val="20"/>
        </w:numPr>
      </w:pPr>
      <w:r>
        <w:t>conflict with family over lifestyle</w:t>
      </w:r>
    </w:p>
    <w:p w14:paraId="321A4EBB" w14:textId="2038B208" w:rsidR="006D23D6" w:rsidRDefault="006D23D6" w:rsidP="006D23D6">
      <w:pPr>
        <w:pStyle w:val="ListParagraph"/>
        <w:numPr>
          <w:ilvl w:val="0"/>
          <w:numId w:val="20"/>
        </w:numPr>
      </w:pPr>
      <w:r>
        <w:t>confused identity</w:t>
      </w:r>
    </w:p>
    <w:p w14:paraId="364B2E0E" w14:textId="1CA12A33" w:rsidR="006D23D6" w:rsidRDefault="006D23D6" w:rsidP="006D23D6">
      <w:pPr>
        <w:pStyle w:val="ListParagraph"/>
        <w:numPr>
          <w:ilvl w:val="0"/>
          <w:numId w:val="20"/>
        </w:numPr>
      </w:pPr>
      <w:r>
        <w:t>victim or witness to race or hate crimes</w:t>
      </w:r>
    </w:p>
    <w:p w14:paraId="7D32ABEB" w14:textId="76F4ECB1" w:rsidR="006D23D6" w:rsidRDefault="006D23D6" w:rsidP="006D23D6">
      <w:pPr>
        <w:pStyle w:val="ListParagraph"/>
        <w:numPr>
          <w:ilvl w:val="0"/>
          <w:numId w:val="20"/>
        </w:numPr>
      </w:pPr>
      <w:r>
        <w:t>rejection by peers, family, social groups or faith</w:t>
      </w:r>
    </w:p>
    <w:p w14:paraId="4405EE36" w14:textId="77777777" w:rsidR="006D23D6" w:rsidRDefault="006D23D6" w:rsidP="006D23D6">
      <w:pPr>
        <w:rPr>
          <w:b/>
          <w:bCs/>
        </w:rPr>
      </w:pPr>
      <w:r w:rsidRPr="006D23D6">
        <w:rPr>
          <w:b/>
          <w:bCs/>
        </w:rPr>
        <w:t>Recognising Extremism</w:t>
      </w:r>
    </w:p>
    <w:p w14:paraId="6E25B3BB" w14:textId="07E05412" w:rsidR="006D23D6" w:rsidRDefault="006D23D6" w:rsidP="006D23D6">
      <w:r>
        <w:t>Early indicators of radicalisation or extremism may include:</w:t>
      </w:r>
    </w:p>
    <w:p w14:paraId="376CF815" w14:textId="17C72D79" w:rsidR="006D23D6" w:rsidRDefault="006D23D6" w:rsidP="006D23D6">
      <w:pPr>
        <w:pStyle w:val="ListParagraph"/>
        <w:numPr>
          <w:ilvl w:val="0"/>
          <w:numId w:val="20"/>
        </w:numPr>
      </w:pPr>
      <w:r>
        <w:t>showing sympathy for extremist causes</w:t>
      </w:r>
    </w:p>
    <w:p w14:paraId="6A760DE0" w14:textId="05537BB3" w:rsidR="006D23D6" w:rsidRDefault="006D23D6" w:rsidP="006D23D6">
      <w:pPr>
        <w:pStyle w:val="ListParagraph"/>
        <w:numPr>
          <w:ilvl w:val="0"/>
          <w:numId w:val="20"/>
        </w:numPr>
      </w:pPr>
      <w:r>
        <w:t>glorifying violence, especially to other faiths or cultures</w:t>
      </w:r>
    </w:p>
    <w:p w14:paraId="4DFF38D2" w14:textId="2488095E" w:rsidR="006D23D6" w:rsidRDefault="006D23D6" w:rsidP="006D23D6">
      <w:pPr>
        <w:pStyle w:val="ListParagraph"/>
        <w:numPr>
          <w:ilvl w:val="0"/>
          <w:numId w:val="20"/>
        </w:numPr>
      </w:pPr>
      <w:r>
        <w:t>making remarks or comments about being at extremist events or rallies</w:t>
      </w:r>
    </w:p>
    <w:p w14:paraId="5333A016" w14:textId="5D152A51" w:rsidR="006D23D6" w:rsidRDefault="006D23D6" w:rsidP="006D23D6">
      <w:pPr>
        <w:pStyle w:val="ListParagraph"/>
        <w:numPr>
          <w:ilvl w:val="0"/>
          <w:numId w:val="20"/>
        </w:numPr>
      </w:pPr>
      <w:r>
        <w:t>evidence of possessing illegal or extremist literature</w:t>
      </w:r>
    </w:p>
    <w:p w14:paraId="7E9156FC" w14:textId="61F9BF3E" w:rsidR="006D23D6" w:rsidRDefault="006D23D6" w:rsidP="006D23D6">
      <w:pPr>
        <w:pStyle w:val="ListParagraph"/>
        <w:numPr>
          <w:ilvl w:val="0"/>
          <w:numId w:val="20"/>
        </w:numPr>
      </w:pPr>
      <w:r>
        <w:lastRenderedPageBreak/>
        <w:t xml:space="preserve">advocating messages </w:t>
      </w:r>
      <w:proofErr w:type="gramStart"/>
      <w:r>
        <w:t>similar to</w:t>
      </w:r>
      <w:proofErr w:type="gramEnd"/>
      <w:r>
        <w:t xml:space="preserve"> illegal organisations or other extremist groups</w:t>
      </w:r>
    </w:p>
    <w:p w14:paraId="28C31070" w14:textId="690D4EBE" w:rsidR="006D23D6" w:rsidRDefault="006D23D6" w:rsidP="006D23D6">
      <w:pPr>
        <w:pStyle w:val="ListParagraph"/>
        <w:numPr>
          <w:ilvl w:val="0"/>
          <w:numId w:val="20"/>
        </w:numPr>
      </w:pPr>
      <w:r>
        <w:t>out of character changes in dress, behaviour, and peer relationships (but there are</w:t>
      </w:r>
    </w:p>
    <w:p w14:paraId="5E5A5B26" w14:textId="0D702F76" w:rsidR="006D23D6" w:rsidRDefault="006D23D6" w:rsidP="006D23D6">
      <w:pPr>
        <w:pStyle w:val="ListParagraph"/>
      </w:pPr>
      <w:r>
        <w:t>also, very powerful narratives, programs and networks that young people can come</w:t>
      </w:r>
    </w:p>
    <w:p w14:paraId="4B679F10" w14:textId="5EA5861A" w:rsidR="006D23D6" w:rsidRDefault="006D23D6" w:rsidP="006D23D6">
      <w:pPr>
        <w:pStyle w:val="ListParagraph"/>
      </w:pPr>
      <w:r>
        <w:t xml:space="preserve">across online so involvement with </w:t>
      </w:r>
      <w:proofErr w:type="gramStart"/>
      <w:r>
        <w:t>particular groups</w:t>
      </w:r>
      <w:proofErr w:type="gramEnd"/>
      <w:r>
        <w:t xml:space="preserve"> may not be apparent)</w:t>
      </w:r>
    </w:p>
    <w:p w14:paraId="614E15FB" w14:textId="4F4DC0A9" w:rsidR="006D23D6" w:rsidRDefault="006D23D6" w:rsidP="006D23D6">
      <w:pPr>
        <w:pStyle w:val="ListParagraph"/>
        <w:numPr>
          <w:ilvl w:val="0"/>
          <w:numId w:val="20"/>
        </w:numPr>
      </w:pPr>
      <w:r>
        <w:t>secretive behaviour</w:t>
      </w:r>
    </w:p>
    <w:p w14:paraId="0BAE30FA" w14:textId="69A9DD2A" w:rsidR="006D23D6" w:rsidRDefault="006D23D6" w:rsidP="006D23D6">
      <w:pPr>
        <w:pStyle w:val="ListParagraph"/>
        <w:numPr>
          <w:ilvl w:val="0"/>
          <w:numId w:val="20"/>
        </w:numPr>
      </w:pPr>
      <w:r>
        <w:t>online searcher or sharing extremist messages or social profiles</w:t>
      </w:r>
    </w:p>
    <w:p w14:paraId="3499A4C9" w14:textId="10BBFE3D" w:rsidR="006D23D6" w:rsidRDefault="006D23D6" w:rsidP="006D23D6">
      <w:pPr>
        <w:pStyle w:val="ListParagraph"/>
        <w:numPr>
          <w:ilvl w:val="0"/>
          <w:numId w:val="20"/>
        </w:numPr>
      </w:pPr>
      <w:r>
        <w:t>intolerance of difference, including faith, culture, gender, race, or sexuality</w:t>
      </w:r>
    </w:p>
    <w:p w14:paraId="0553952E" w14:textId="2897A9EE" w:rsidR="006D23D6" w:rsidRDefault="006D23D6" w:rsidP="006D23D6">
      <w:pPr>
        <w:pStyle w:val="ListParagraph"/>
        <w:numPr>
          <w:ilvl w:val="0"/>
          <w:numId w:val="20"/>
        </w:numPr>
      </w:pPr>
      <w:r>
        <w:t>graffiti, artwork or writing that displays extremist themes</w:t>
      </w:r>
    </w:p>
    <w:p w14:paraId="728EB73C" w14:textId="445E8E3E" w:rsidR="006D23D6" w:rsidRDefault="006D23D6" w:rsidP="006D23D6">
      <w:pPr>
        <w:pStyle w:val="ListParagraph"/>
        <w:numPr>
          <w:ilvl w:val="0"/>
          <w:numId w:val="20"/>
        </w:numPr>
      </w:pPr>
      <w:r>
        <w:t>attempts to impose extremist views or practices on others</w:t>
      </w:r>
    </w:p>
    <w:p w14:paraId="68187B78" w14:textId="60A61416" w:rsidR="006D23D6" w:rsidRDefault="006D23D6" w:rsidP="006D23D6">
      <w:pPr>
        <w:pStyle w:val="ListParagraph"/>
        <w:numPr>
          <w:ilvl w:val="0"/>
          <w:numId w:val="20"/>
        </w:numPr>
      </w:pPr>
      <w:r>
        <w:t>verbalizing anti-Western or anti-British views</w:t>
      </w:r>
    </w:p>
    <w:p w14:paraId="0D25876C" w14:textId="7618A4F6" w:rsidR="00B4319C" w:rsidRDefault="006D23D6" w:rsidP="006D23D6">
      <w:pPr>
        <w:pStyle w:val="ListParagraph"/>
        <w:numPr>
          <w:ilvl w:val="0"/>
          <w:numId w:val="20"/>
        </w:numPr>
      </w:pPr>
      <w:r>
        <w:t>advocating violence towards others</w:t>
      </w:r>
    </w:p>
    <w:p w14:paraId="313F2F9A" w14:textId="730F5024" w:rsidR="00452FE5" w:rsidRDefault="00452FE5" w:rsidP="00452FE5">
      <w:pPr>
        <w:pStyle w:val="Heading1"/>
        <w:numPr>
          <w:ilvl w:val="1"/>
          <w:numId w:val="11"/>
        </w:numPr>
      </w:pPr>
      <w:bookmarkStart w:id="5" w:name="_Toc155953422"/>
      <w:r>
        <w:t>Assessing risk</w:t>
      </w:r>
      <w:bookmarkEnd w:id="5"/>
    </w:p>
    <w:p w14:paraId="71327791" w14:textId="77777777" w:rsidR="00452FE5" w:rsidRDefault="00452FE5" w:rsidP="00452FE5">
      <w:pPr>
        <w:pStyle w:val="IndentNormal"/>
      </w:pPr>
      <w:r>
        <w:t>The school will:</w:t>
      </w:r>
    </w:p>
    <w:p w14:paraId="012A9949" w14:textId="3A4481C0" w:rsidR="00452FE5" w:rsidRDefault="00452FE5" w:rsidP="00452FE5">
      <w:pPr>
        <w:pStyle w:val="IndentNormal"/>
        <w:numPr>
          <w:ilvl w:val="0"/>
          <w:numId w:val="24"/>
        </w:numPr>
      </w:pPr>
      <w:r>
        <w:t>a</w:t>
      </w:r>
      <w:r w:rsidRPr="00452FE5">
        <w:t>ssess the risk of activities taking place on the school site, including if it's used by local groups outside school hours, and determine whether these pose a threat to pupils</w:t>
      </w:r>
      <w:r>
        <w:t xml:space="preserve">. </w:t>
      </w:r>
    </w:p>
    <w:p w14:paraId="3CBE5150" w14:textId="75788845" w:rsidR="00452FE5" w:rsidRDefault="00452FE5" w:rsidP="00452FE5">
      <w:pPr>
        <w:pStyle w:val="IndentNormal"/>
        <w:numPr>
          <w:ilvl w:val="0"/>
          <w:numId w:val="24"/>
        </w:numPr>
      </w:pPr>
      <w:r>
        <w:t>s</w:t>
      </w:r>
      <w:r w:rsidRPr="00452FE5">
        <w:t>et out protocols to make sure visiting speakers are suitable and appropriately supervised</w:t>
      </w:r>
      <w:r>
        <w:t>.</w:t>
      </w:r>
    </w:p>
    <w:p w14:paraId="0F6C2EB0" w14:textId="172159A3" w:rsidR="00452FE5" w:rsidRPr="00452FE5" w:rsidRDefault="00452FE5" w:rsidP="00452FE5">
      <w:pPr>
        <w:pStyle w:val="IndentNormal"/>
        <w:numPr>
          <w:ilvl w:val="0"/>
          <w:numId w:val="24"/>
        </w:numPr>
      </w:pPr>
      <w:r>
        <w:t>e</w:t>
      </w:r>
      <w:r w:rsidRPr="00452FE5">
        <w:t xml:space="preserve">ngage with </w:t>
      </w:r>
      <w:r>
        <w:t>the LA’s</w:t>
      </w:r>
      <w:r w:rsidRPr="00452FE5">
        <w:t xml:space="preserve"> risk assessment – which uses counter-terrorism local profiles to assess the risk of individuals being drawn into terrorism – to help determine potential risk in our local area</w:t>
      </w:r>
      <w:r>
        <w:t>.</w:t>
      </w:r>
    </w:p>
    <w:p w14:paraId="18F8C70E" w14:textId="313AC432" w:rsidR="0099560A" w:rsidRDefault="0099560A" w:rsidP="00E62305">
      <w:pPr>
        <w:pStyle w:val="HeadlingPlain"/>
        <w:numPr>
          <w:ilvl w:val="0"/>
          <w:numId w:val="11"/>
        </w:numPr>
      </w:pPr>
      <w:bookmarkStart w:id="6" w:name="_Toc155953423"/>
      <w:r>
        <w:t>Referrals and intervention</w:t>
      </w:r>
      <w:bookmarkEnd w:id="6"/>
    </w:p>
    <w:p w14:paraId="4B1B3726" w14:textId="7B8B1A16" w:rsidR="0099560A" w:rsidRDefault="0099560A" w:rsidP="0099560A">
      <w:r w:rsidRPr="0099560A">
        <w:t xml:space="preserve">Staff and visitors must refer all concerns about children and young people who show signs of </w:t>
      </w:r>
      <w:r w:rsidR="007659FC">
        <w:t>susceptib</w:t>
      </w:r>
      <w:r w:rsidRPr="0099560A">
        <w:t xml:space="preserve">ility or radicalisation to the </w:t>
      </w:r>
      <w:r>
        <w:t>headteacher/DSL</w:t>
      </w:r>
      <w:r w:rsidRPr="0099560A">
        <w:t>, using the usual methods for reporting other safeguarding concerns.</w:t>
      </w:r>
    </w:p>
    <w:p w14:paraId="7F2ECBE5" w14:textId="6C6A8413" w:rsidR="0099560A" w:rsidRDefault="0084084C" w:rsidP="0099560A">
      <w:pPr>
        <w:pStyle w:val="HeadlingPlain"/>
        <w:numPr>
          <w:ilvl w:val="1"/>
          <w:numId w:val="11"/>
        </w:numPr>
      </w:pPr>
      <w:bookmarkStart w:id="7" w:name="_Toc155953424"/>
      <w:r>
        <w:t xml:space="preserve">Escalation to </w:t>
      </w:r>
      <w:r w:rsidR="0099560A">
        <w:t>Channel</w:t>
      </w:r>
      <w:bookmarkEnd w:id="7"/>
      <w:r w:rsidR="0099560A">
        <w:t xml:space="preserve"> </w:t>
      </w:r>
    </w:p>
    <w:p w14:paraId="32919A4F" w14:textId="0D3FA3BD" w:rsidR="00D84F6A" w:rsidRDefault="00D84F6A" w:rsidP="00D84F6A">
      <w:pPr>
        <w:pStyle w:val="IndentNormal"/>
        <w:ind w:left="792"/>
      </w:pPr>
      <w:r>
        <w:t>As s</w:t>
      </w:r>
      <w:r w:rsidRPr="00DD15F6">
        <w:t>ome concerns which are identified may have a security dimension to them, it is</w:t>
      </w:r>
      <w:r>
        <w:t xml:space="preserve"> </w:t>
      </w:r>
      <w:r w:rsidRPr="00DD15F6">
        <w:t>important that liaison with the police forms an early part of all investigations</w:t>
      </w:r>
      <w:r>
        <w:t>, as part of the Channel process</w:t>
      </w:r>
      <w:r w:rsidRPr="00DD15F6">
        <w:t>.</w:t>
      </w:r>
      <w:r>
        <w:t xml:space="preserve">  </w:t>
      </w:r>
    </w:p>
    <w:p w14:paraId="0C3FBBCF" w14:textId="36C8E369" w:rsidR="00DD15F6" w:rsidRDefault="00DD15F6" w:rsidP="0084084C">
      <w:pPr>
        <w:pStyle w:val="IndentNormal"/>
        <w:ind w:left="792"/>
      </w:pPr>
      <w:r w:rsidRPr="00DD15F6">
        <w:t xml:space="preserve">Channel is a voluntary, confidential support programme which focuses on providing support at an early stage to people who are identified as being </w:t>
      </w:r>
      <w:r w:rsidR="007659FC">
        <w:t>suscepti</w:t>
      </w:r>
      <w:r w:rsidRPr="00DD15F6">
        <w:t xml:space="preserve">ble to being drawn into terrorism. Prevent referrals may be passed to a multi-agency Channel panel, which will discuss the individual referred to determine whether they are </w:t>
      </w:r>
      <w:r w:rsidR="007659FC">
        <w:t>susceptib</w:t>
      </w:r>
      <w:r w:rsidRPr="00DD15F6">
        <w:t>le to being drawn into terrorism and consider the appropriate support required.</w:t>
      </w:r>
      <w:r>
        <w:t xml:space="preserve"> </w:t>
      </w:r>
    </w:p>
    <w:p w14:paraId="146DD856" w14:textId="46DFD297" w:rsidR="00A039C5" w:rsidRDefault="00A039C5" w:rsidP="0084084C">
      <w:pPr>
        <w:pStyle w:val="IndentNormal"/>
        <w:ind w:left="792"/>
      </w:pPr>
      <w:r>
        <w:t xml:space="preserve">Referrals should be made to </w:t>
      </w:r>
      <w:hyperlink r:id="rId21" w:history="1">
        <w:r w:rsidRPr="00357219">
          <w:rPr>
            <w:rStyle w:val="Hyperlink"/>
          </w:rPr>
          <w:t>prevent@northyorkshire.police.uk</w:t>
        </w:r>
      </w:hyperlink>
      <w:r>
        <w:t xml:space="preserve"> </w:t>
      </w:r>
    </w:p>
    <w:p w14:paraId="56681B1B" w14:textId="34A1A1F3" w:rsidR="00707B23" w:rsidRDefault="00707B23" w:rsidP="00E62305">
      <w:pPr>
        <w:pStyle w:val="HeadlingPlain"/>
        <w:numPr>
          <w:ilvl w:val="0"/>
          <w:numId w:val="11"/>
        </w:numPr>
      </w:pPr>
      <w:bookmarkStart w:id="8" w:name="_Toc155953425"/>
      <w:r>
        <w:t>Data sharing</w:t>
      </w:r>
      <w:bookmarkEnd w:id="8"/>
    </w:p>
    <w:p w14:paraId="0FCE04DA" w14:textId="555E4A1B" w:rsidR="00707B23" w:rsidRDefault="00707B23" w:rsidP="00707B23">
      <w:r>
        <w:t xml:space="preserve">Schools may need to share information about pupils to ensure, for example, that a person at risk of radicalisation is given appropriate support, such as on the Channel programme. When sharing </w:t>
      </w:r>
      <w:r>
        <w:lastRenderedPageBreak/>
        <w:t>personal data, the requirements of data protection legislation will be applied to ensure information is shared lawfully and with the appropriate safeguards in place.</w:t>
      </w:r>
    </w:p>
    <w:p w14:paraId="71099797" w14:textId="427AA699" w:rsidR="00707B23" w:rsidRDefault="00707B23" w:rsidP="00707B23">
      <w:r>
        <w:t>C</w:t>
      </w:r>
      <w:r w:rsidRPr="00707B23">
        <w:t>onsent</w:t>
      </w:r>
      <w:r>
        <w:t xml:space="preserve"> is not required</w:t>
      </w:r>
      <w:r w:rsidRPr="00707B23">
        <w:t xml:space="preserve"> to share information about a pupil who might be susceptible to radicalisation</w:t>
      </w:r>
      <w:r>
        <w:t>.</w:t>
      </w:r>
      <w:r w:rsidRPr="00707B23">
        <w:t xml:space="preserve"> </w:t>
      </w:r>
      <w:r>
        <w:t xml:space="preserve">Whilst every effort will be taken to liaise with the parent/carer(s), it is possible that a referral can be made without parental consent if it is deemed necessary. </w:t>
      </w:r>
    </w:p>
    <w:p w14:paraId="1CAF4A80" w14:textId="2CD08416" w:rsidR="00990863" w:rsidRDefault="00E62305" w:rsidP="00E62305">
      <w:pPr>
        <w:pStyle w:val="HeadlingPlain"/>
        <w:numPr>
          <w:ilvl w:val="0"/>
          <w:numId w:val="11"/>
        </w:numPr>
      </w:pPr>
      <w:bookmarkStart w:id="9" w:name="_Toc155953426"/>
      <w:r>
        <w:t>Curriculum</w:t>
      </w:r>
      <w:bookmarkEnd w:id="9"/>
    </w:p>
    <w:p w14:paraId="6FD044D5" w14:textId="00FAEDBD" w:rsidR="00E62305" w:rsidRDefault="007659FC" w:rsidP="00E62305">
      <w:r>
        <w:t xml:space="preserve">The Trust </w:t>
      </w:r>
      <w:r w:rsidR="00E62305">
        <w:t xml:space="preserve">encourages working towards a society with a common vision and sense of belonging for all communities and take our role in preparing all our young people for life in modern Britain seriously. We are committed to offering pupils a broad and balanced </w:t>
      </w:r>
      <w:r w:rsidR="006A69E6">
        <w:t xml:space="preserve">curriculum </w:t>
      </w:r>
      <w:r w:rsidR="00E62305">
        <w:t>which aims to:</w:t>
      </w:r>
    </w:p>
    <w:p w14:paraId="3B584064" w14:textId="1EFAA914" w:rsidR="00E62305" w:rsidRDefault="00E62305" w:rsidP="00E62305">
      <w:pPr>
        <w:pStyle w:val="ListParagraph"/>
        <w:numPr>
          <w:ilvl w:val="0"/>
          <w:numId w:val="14"/>
        </w:numPr>
      </w:pPr>
      <w:r>
        <w:t>Encourage pupils to be inquisitive learners who are tolerant of others</w:t>
      </w:r>
    </w:p>
    <w:p w14:paraId="214AEAFF" w14:textId="7342B0C4" w:rsidR="00E62305" w:rsidRDefault="00E62305" w:rsidP="00E62305">
      <w:pPr>
        <w:pStyle w:val="ListParagraph"/>
        <w:numPr>
          <w:ilvl w:val="0"/>
          <w:numId w:val="14"/>
        </w:numPr>
      </w:pPr>
      <w:r>
        <w:t>Promote common values and value diversity</w:t>
      </w:r>
    </w:p>
    <w:p w14:paraId="094A609B" w14:textId="7C77F2FB" w:rsidR="00E62305" w:rsidRDefault="00E62305" w:rsidP="00E62305">
      <w:pPr>
        <w:pStyle w:val="ListParagraph"/>
        <w:numPr>
          <w:ilvl w:val="0"/>
          <w:numId w:val="14"/>
        </w:numPr>
      </w:pPr>
      <w:r>
        <w:t>Promote awareness of human rights, and the responsibility to uphold and defend them</w:t>
      </w:r>
    </w:p>
    <w:p w14:paraId="20B17C86" w14:textId="76FE69EA" w:rsidR="00E62305" w:rsidRDefault="00E62305" w:rsidP="00E62305">
      <w:pPr>
        <w:pStyle w:val="ListParagraph"/>
        <w:numPr>
          <w:ilvl w:val="0"/>
          <w:numId w:val="14"/>
        </w:numPr>
      </w:pPr>
      <w:r>
        <w:t>Develop the skills of participation and responsible action</w:t>
      </w:r>
    </w:p>
    <w:p w14:paraId="19321C23" w14:textId="1A451F98" w:rsidR="0084084C" w:rsidRDefault="0084084C" w:rsidP="0084084C">
      <w:r>
        <w:t xml:space="preserve">The school will make sure that any discussions are suitable for the age and maturity of the children involved. </w:t>
      </w:r>
    </w:p>
    <w:p w14:paraId="0E6842F6" w14:textId="52820139" w:rsidR="00E62305" w:rsidRDefault="001B1CF5" w:rsidP="001B1CF5">
      <w:pPr>
        <w:pStyle w:val="HeadlingPlain"/>
        <w:numPr>
          <w:ilvl w:val="0"/>
          <w:numId w:val="11"/>
        </w:numPr>
      </w:pPr>
      <w:bookmarkStart w:id="10" w:name="_Toc155953427"/>
      <w:r>
        <w:t>Internet safety</w:t>
      </w:r>
      <w:bookmarkEnd w:id="10"/>
    </w:p>
    <w:p w14:paraId="6075C212" w14:textId="44C3754A" w:rsidR="001B1CF5" w:rsidRDefault="001B1CF5" w:rsidP="001B1CF5">
      <w:r w:rsidRPr="001B1CF5">
        <w:t xml:space="preserve">The internet provides children and young people with access to a wide range of content, some of which is harmful. Extremists use the internet, including social media, to share their messages. The filtering systems used </w:t>
      </w:r>
      <w:r>
        <w:t xml:space="preserve">throughout </w:t>
      </w:r>
      <w:r w:rsidR="001F6527">
        <w:t>the Trust</w:t>
      </w:r>
      <w:r>
        <w:t xml:space="preserve"> </w:t>
      </w:r>
      <w:r w:rsidRPr="001B1CF5">
        <w:t xml:space="preserve">block inappropriate content, including </w:t>
      </w:r>
      <w:r w:rsidR="001F6527">
        <w:t xml:space="preserve">terrorist and </w:t>
      </w:r>
      <w:r w:rsidRPr="001B1CF5">
        <w:t>extremist</w:t>
      </w:r>
      <w:r w:rsidR="001F6527">
        <w:t xml:space="preserve"> material</w:t>
      </w:r>
      <w:r w:rsidRPr="001B1CF5">
        <w:t>.</w:t>
      </w:r>
      <w:r>
        <w:t xml:space="preserve"> </w:t>
      </w:r>
    </w:p>
    <w:p w14:paraId="57328844" w14:textId="20E1280E" w:rsidR="001F6527" w:rsidRPr="00520B58" w:rsidRDefault="001F6527" w:rsidP="001F6527">
      <w:r w:rsidRPr="00520B58">
        <w:t xml:space="preserve">The Trust’s firewall </w:t>
      </w:r>
      <w:r>
        <w:t xml:space="preserve">also </w:t>
      </w:r>
      <w:r w:rsidRPr="00520B58">
        <w:t>monitors traffic to the web and produces a daily report of potential inappropriate searches using keyword monitoring. These reports are reviewed on a regular basis by a member of the Senior Leadership Team.</w:t>
      </w:r>
    </w:p>
    <w:p w14:paraId="0EF7E5AB" w14:textId="72316593" w:rsidR="001F6527" w:rsidRDefault="001F6527" w:rsidP="001F6527">
      <w:pPr>
        <w:pStyle w:val="HeadlingPlain"/>
        <w:numPr>
          <w:ilvl w:val="0"/>
          <w:numId w:val="11"/>
        </w:numPr>
      </w:pPr>
      <w:bookmarkStart w:id="11" w:name="_Toc155953428"/>
      <w:r>
        <w:t>Training</w:t>
      </w:r>
      <w:bookmarkEnd w:id="11"/>
      <w:r>
        <w:t xml:space="preserve"> </w:t>
      </w:r>
    </w:p>
    <w:p w14:paraId="6C12B707" w14:textId="5F329967" w:rsidR="001F6527" w:rsidRDefault="00BB1AC2" w:rsidP="001F6527">
      <w:r>
        <w:t>All s</w:t>
      </w:r>
      <w:r w:rsidR="001F6527">
        <w:t>taff will be given training</w:t>
      </w:r>
      <w:r w:rsidR="005930CE">
        <w:rPr>
          <w:rStyle w:val="FootnoteReference"/>
        </w:rPr>
        <w:footnoteReference w:id="1"/>
      </w:r>
      <w:r w:rsidR="001F6527">
        <w:t xml:space="preserve"> to help them understand the issues of radicalisation, are able to recognise the signs of </w:t>
      </w:r>
      <w:r w:rsidR="007659FC">
        <w:t>suscepti</w:t>
      </w:r>
      <w:r w:rsidR="001F6527">
        <w:t>bility or radicalisation and know how to refer their concerns. This information forms part of their safeguarding training. Staff are updated as necessary at safeguarding briefings as appropriate.</w:t>
      </w:r>
    </w:p>
    <w:p w14:paraId="69FBE376" w14:textId="60F4BDEE" w:rsidR="00BB1AC2" w:rsidRDefault="00BB1AC2" w:rsidP="001F6527">
      <w:r>
        <w:t>The Prevent Lead/DSL(s) will also receive more in-depth training, including:</w:t>
      </w:r>
    </w:p>
    <w:p w14:paraId="7700A9B9" w14:textId="77777777" w:rsidR="00BB1AC2" w:rsidRDefault="00BB1AC2" w:rsidP="00BB1AC2">
      <w:pPr>
        <w:pStyle w:val="ListParagraph"/>
        <w:numPr>
          <w:ilvl w:val="0"/>
          <w:numId w:val="23"/>
        </w:numPr>
      </w:pPr>
      <w:r>
        <w:t>Information about extremist and terrorist ideologies</w:t>
      </w:r>
    </w:p>
    <w:p w14:paraId="6F7C18F0" w14:textId="77777777" w:rsidR="00BB1AC2" w:rsidRDefault="00BB1AC2" w:rsidP="00BB1AC2">
      <w:pPr>
        <w:pStyle w:val="ListParagraph"/>
        <w:numPr>
          <w:ilvl w:val="0"/>
          <w:numId w:val="23"/>
        </w:numPr>
      </w:pPr>
      <w:r>
        <w:t>How to make referrals</w:t>
      </w:r>
    </w:p>
    <w:p w14:paraId="04B9555A" w14:textId="06D59D69" w:rsidR="00BB1AC2" w:rsidRDefault="00BB1AC2" w:rsidP="00BB1AC2">
      <w:pPr>
        <w:pStyle w:val="ListParagraph"/>
        <w:numPr>
          <w:ilvl w:val="0"/>
          <w:numId w:val="23"/>
        </w:numPr>
      </w:pPr>
      <w:r>
        <w:t>How to work with Channel panels</w:t>
      </w:r>
    </w:p>
    <w:p w14:paraId="583CA71A" w14:textId="1B048A1C" w:rsidR="001F6527" w:rsidRDefault="001F6527" w:rsidP="001F6527">
      <w:pPr>
        <w:pStyle w:val="HeadlingPlain"/>
        <w:numPr>
          <w:ilvl w:val="0"/>
          <w:numId w:val="11"/>
        </w:numPr>
      </w:pPr>
      <w:bookmarkStart w:id="12" w:name="_Toc155953429"/>
      <w:r>
        <w:lastRenderedPageBreak/>
        <w:t>Safer recruitment</w:t>
      </w:r>
      <w:bookmarkEnd w:id="12"/>
    </w:p>
    <w:p w14:paraId="18330E2B" w14:textId="6AE11AA4" w:rsidR="001F6527" w:rsidRPr="00057CDD" w:rsidRDefault="001F6527" w:rsidP="001F6527">
      <w:r w:rsidRPr="001F6527">
        <w:t xml:space="preserve">We ensure that the staff </w:t>
      </w:r>
      <w:r>
        <w:t>appointed within the Trust</w:t>
      </w:r>
      <w:r w:rsidRPr="001F6527">
        <w:t xml:space="preserve"> are suitable, our recruitment procedures are rigorous, and we follow the statutory guidance published in </w:t>
      </w:r>
      <w:r>
        <w:t xml:space="preserve">part 3 of </w:t>
      </w:r>
      <w:r w:rsidRPr="001F6527">
        <w:t>Keeping Children Safe in</w:t>
      </w:r>
      <w:r>
        <w:t xml:space="preserve"> Education</w:t>
      </w:r>
      <w:r w:rsidRPr="001F6527">
        <w:t xml:space="preserve">. Vetting and barring checks are undertaken on </w:t>
      </w:r>
      <w:r>
        <w:t xml:space="preserve">all </w:t>
      </w:r>
      <w:r w:rsidRPr="001F6527">
        <w:t>relevant people, including governors and volunteers.</w:t>
      </w:r>
    </w:p>
    <w:p w14:paraId="6476879E" w14:textId="77777777" w:rsidR="00057CDD" w:rsidRDefault="00057CDD" w:rsidP="00057CDD">
      <w:pPr>
        <w:pStyle w:val="HeadlingPlain"/>
      </w:pPr>
      <w:bookmarkStart w:id="13" w:name="_Toc155953430"/>
      <w:r>
        <w:t>ASSOCIATED POLICIES</w:t>
      </w:r>
      <w:bookmarkEnd w:id="13"/>
    </w:p>
    <w:p w14:paraId="277A6FAE" w14:textId="7702A769" w:rsidR="00C633F0" w:rsidRDefault="008571CD" w:rsidP="008571CD">
      <w:pPr>
        <w:pStyle w:val="ListParagraph"/>
        <w:numPr>
          <w:ilvl w:val="0"/>
          <w:numId w:val="10"/>
        </w:numPr>
        <w:spacing w:before="240"/>
      </w:pPr>
      <w:r>
        <w:t xml:space="preserve">Child Protection </w:t>
      </w:r>
      <w:r w:rsidR="007659FC">
        <w:t>Policy</w:t>
      </w:r>
    </w:p>
    <w:p w14:paraId="4694424A" w14:textId="6BCB0F02" w:rsidR="008571CD" w:rsidRDefault="008571CD" w:rsidP="008571CD">
      <w:pPr>
        <w:pStyle w:val="ListParagraph"/>
        <w:numPr>
          <w:ilvl w:val="0"/>
          <w:numId w:val="10"/>
        </w:numPr>
        <w:spacing w:before="240"/>
      </w:pPr>
      <w:r>
        <w:t>Online Safety Policy</w:t>
      </w:r>
    </w:p>
    <w:p w14:paraId="6BE13176" w14:textId="0FBA74D8" w:rsidR="008571CD" w:rsidRDefault="008571CD" w:rsidP="008571CD">
      <w:pPr>
        <w:pStyle w:val="ListParagraph"/>
        <w:numPr>
          <w:ilvl w:val="0"/>
          <w:numId w:val="10"/>
        </w:numPr>
        <w:spacing w:before="240"/>
      </w:pPr>
      <w:r>
        <w:t>PSHE Policy</w:t>
      </w:r>
    </w:p>
    <w:p w14:paraId="7F21314C" w14:textId="6D0E785F" w:rsidR="005572DD" w:rsidRDefault="005572DD" w:rsidP="008571CD">
      <w:pPr>
        <w:pStyle w:val="ListParagraph"/>
        <w:numPr>
          <w:ilvl w:val="0"/>
          <w:numId w:val="10"/>
        </w:numPr>
        <w:spacing w:before="240"/>
      </w:pPr>
      <w:r>
        <w:t>Teaching and Learning Policy</w:t>
      </w:r>
    </w:p>
    <w:p w14:paraId="0E78BC07" w14:textId="5D3390B9" w:rsidR="005572DD" w:rsidRDefault="005572DD" w:rsidP="008571CD">
      <w:pPr>
        <w:pStyle w:val="ListParagraph"/>
        <w:numPr>
          <w:ilvl w:val="0"/>
          <w:numId w:val="10"/>
        </w:numPr>
        <w:spacing w:before="240"/>
      </w:pPr>
      <w:r>
        <w:t>Acceptable Use Agreement</w:t>
      </w:r>
    </w:p>
    <w:p w14:paraId="1E43F16F" w14:textId="11CE89FF" w:rsidR="005572DD" w:rsidRDefault="005572DD" w:rsidP="008571CD">
      <w:pPr>
        <w:pStyle w:val="ListParagraph"/>
        <w:numPr>
          <w:ilvl w:val="0"/>
          <w:numId w:val="10"/>
        </w:numPr>
        <w:spacing w:before="240"/>
      </w:pPr>
      <w:r>
        <w:t>Recruitment and Selection Policy</w:t>
      </w:r>
    </w:p>
    <w:p w14:paraId="3B90A440" w14:textId="0783CBF0" w:rsidR="005572DD" w:rsidRDefault="005572DD" w:rsidP="008571CD">
      <w:pPr>
        <w:pStyle w:val="ListParagraph"/>
        <w:numPr>
          <w:ilvl w:val="0"/>
          <w:numId w:val="10"/>
        </w:numPr>
        <w:spacing w:before="240"/>
      </w:pPr>
      <w:r>
        <w:t>Whistleblowing Policy</w:t>
      </w:r>
    </w:p>
    <w:p w14:paraId="66335CD9" w14:textId="52E9369D" w:rsidR="005572DD" w:rsidRPr="00776DC9" w:rsidRDefault="005572DD" w:rsidP="008571CD">
      <w:pPr>
        <w:pStyle w:val="ListParagraph"/>
        <w:numPr>
          <w:ilvl w:val="0"/>
          <w:numId w:val="10"/>
        </w:numPr>
        <w:spacing w:before="240"/>
      </w:pPr>
      <w:r>
        <w:t>Equality P</w:t>
      </w:r>
      <w:r w:rsidR="007659FC">
        <w:t>olicy</w:t>
      </w:r>
    </w:p>
    <w:sectPr w:rsidR="005572DD" w:rsidRPr="00776DC9" w:rsidSect="00373D9B">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DEB3E" w14:textId="77777777" w:rsidR="00F01663" w:rsidRDefault="00F01663" w:rsidP="005B05DF">
      <w:pPr>
        <w:spacing w:after="0" w:line="240" w:lineRule="auto"/>
      </w:pPr>
      <w:r>
        <w:separator/>
      </w:r>
    </w:p>
  </w:endnote>
  <w:endnote w:type="continuationSeparator" w:id="0">
    <w:p w14:paraId="124C5A88" w14:textId="77777777" w:rsidR="00F01663" w:rsidRDefault="00F01663" w:rsidP="005B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737456"/>
      <w:docPartObj>
        <w:docPartGallery w:val="Page Numbers (Bottom of Page)"/>
        <w:docPartUnique/>
      </w:docPartObj>
    </w:sdtPr>
    <w:sdtEndPr>
      <w:rPr>
        <w:noProof/>
      </w:rPr>
    </w:sdtEndPr>
    <w:sdtContent>
      <w:p w14:paraId="56B16FD7" w14:textId="77777777" w:rsidR="00071358" w:rsidRDefault="000713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1C7906" w14:textId="77777777" w:rsidR="005B05DF" w:rsidRDefault="005B0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589E8" w14:textId="77777777" w:rsidR="00F01663" w:rsidRDefault="00F01663" w:rsidP="005B05DF">
      <w:pPr>
        <w:spacing w:after="0" w:line="240" w:lineRule="auto"/>
      </w:pPr>
      <w:r>
        <w:separator/>
      </w:r>
    </w:p>
  </w:footnote>
  <w:footnote w:type="continuationSeparator" w:id="0">
    <w:p w14:paraId="194611A1" w14:textId="77777777" w:rsidR="00F01663" w:rsidRDefault="00F01663" w:rsidP="005B05DF">
      <w:pPr>
        <w:spacing w:after="0" w:line="240" w:lineRule="auto"/>
      </w:pPr>
      <w:r>
        <w:continuationSeparator/>
      </w:r>
    </w:p>
  </w:footnote>
  <w:footnote w:id="1">
    <w:p w14:paraId="02492699" w14:textId="1F140267" w:rsidR="005930CE" w:rsidRDefault="005930CE">
      <w:pPr>
        <w:pStyle w:val="FootnoteText"/>
      </w:pPr>
      <w:r>
        <w:rPr>
          <w:rStyle w:val="FootnoteReference"/>
        </w:rPr>
        <w:footnoteRef/>
      </w:r>
      <w:r>
        <w:t xml:space="preserve"> New staff are required to complete the Gov.UK training at induction - </w:t>
      </w:r>
      <w:hyperlink r:id="rId1" w:history="1">
        <w:r>
          <w:rPr>
            <w:rStyle w:val="Hyperlink"/>
          </w:rPr>
          <w:t>Prevent duty training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A2B2F" w14:textId="6FBCE458" w:rsidR="005B05DF" w:rsidRPr="00776DC9" w:rsidRDefault="003D6FBD" w:rsidP="00071358">
    <w:pPr>
      <w:pStyle w:val="Header"/>
      <w:rPr>
        <w:i/>
        <w:color w:val="A6A6A6" w:themeColor="background1" w:themeShade="A6"/>
      </w:rPr>
    </w:pPr>
    <w:r>
      <w:rPr>
        <w:i/>
        <w:color w:val="A6A6A6" w:themeColor="background1" w:themeShade="A6"/>
      </w:rPr>
      <w:t>Prevent Strategy</w:t>
    </w:r>
    <w:r w:rsidR="00071358" w:rsidRPr="00776DC9">
      <w:rPr>
        <w:i/>
        <w:color w:val="A6A6A6" w:themeColor="background1" w:themeShade="A6"/>
      </w:rPr>
      <w:t xml:space="preserve"> V</w:t>
    </w:r>
    <w:r w:rsidR="005930CE">
      <w:rPr>
        <w:i/>
        <w:color w:val="A6A6A6" w:themeColor="background1" w:themeShade="A6"/>
      </w:rPr>
      <w:t>2</w:t>
    </w:r>
  </w:p>
  <w:p w14:paraId="6437B91C" w14:textId="77777777" w:rsidR="005B05DF" w:rsidRDefault="005B0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B53BB" w14:textId="77777777" w:rsidR="005B05DF" w:rsidRDefault="005B05DF" w:rsidP="005B05DF">
    <w:pPr>
      <w:pStyle w:val="Header"/>
      <w:jc w:val="center"/>
    </w:pPr>
  </w:p>
  <w:p w14:paraId="34F7FA69" w14:textId="77777777" w:rsidR="005B05DF" w:rsidRDefault="005B05DF" w:rsidP="005B05DF">
    <w:pPr>
      <w:pStyle w:val="Header"/>
      <w:jc w:val="center"/>
    </w:pPr>
  </w:p>
  <w:p w14:paraId="284E60F1" w14:textId="77777777" w:rsidR="005B05DF" w:rsidRDefault="005B05DF" w:rsidP="005B05DF">
    <w:pPr>
      <w:pStyle w:val="Header"/>
      <w:jc w:val="center"/>
    </w:pPr>
  </w:p>
  <w:p w14:paraId="61E9CC60" w14:textId="77777777" w:rsidR="005B05DF" w:rsidRDefault="005B05DF" w:rsidP="005B05DF">
    <w:pPr>
      <w:pStyle w:val="Header"/>
      <w:jc w:val="center"/>
    </w:pPr>
  </w:p>
  <w:p w14:paraId="61525C02" w14:textId="77777777" w:rsidR="005B05DF" w:rsidRDefault="005B05DF" w:rsidP="005B05DF">
    <w:pPr>
      <w:pStyle w:val="Header"/>
      <w:jc w:val="center"/>
    </w:pPr>
    <w:r>
      <w:rPr>
        <w:rFonts w:ascii="Tahoma" w:hAnsi="Tahoma" w:cs="Tahoma"/>
        <w:b/>
        <w:noProof/>
        <w:szCs w:val="24"/>
      </w:rPr>
      <w:drawing>
        <wp:inline distT="0" distB="0" distL="0" distR="0" wp14:anchorId="24B3FA4F" wp14:editId="27966910">
          <wp:extent cx="2222205" cy="894785"/>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785" cy="92964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E82BF" w14:textId="77777777" w:rsidR="00396DB8" w:rsidRPr="00396DB8" w:rsidRDefault="00396DB8" w:rsidP="00396DB8">
    <w:pPr>
      <w:pStyle w:val="Header"/>
      <w:rPr>
        <w:i/>
        <w:color w:val="A6A6A6" w:themeColor="background1" w:themeShade="A6"/>
      </w:rPr>
    </w:pPr>
    <w:r w:rsidRPr="00396DB8">
      <w:rPr>
        <w:i/>
        <w:color w:val="A6A6A6" w:themeColor="background1" w:themeShade="A6"/>
      </w:rPr>
      <w:t>Name of The Policy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7912"/>
    <w:multiLevelType w:val="hybridMultilevel"/>
    <w:tmpl w:val="EBD4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F09DD"/>
    <w:multiLevelType w:val="multilevel"/>
    <w:tmpl w:val="7A989EBC"/>
    <w:numStyleLink w:val="PolicyList"/>
  </w:abstractNum>
  <w:abstractNum w:abstractNumId="2" w15:restartNumberingAfterBreak="0">
    <w:nsid w:val="14D97318"/>
    <w:multiLevelType w:val="hybridMultilevel"/>
    <w:tmpl w:val="4010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14832"/>
    <w:multiLevelType w:val="hybridMultilevel"/>
    <w:tmpl w:val="DF2A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55F15"/>
    <w:multiLevelType w:val="multilevel"/>
    <w:tmpl w:val="7A989EBC"/>
    <w:numStyleLink w:val="PolicyList"/>
  </w:abstractNum>
  <w:abstractNum w:abstractNumId="5" w15:restartNumberingAfterBreak="0">
    <w:nsid w:val="1A0D2A5F"/>
    <w:multiLevelType w:val="hybridMultilevel"/>
    <w:tmpl w:val="544EC1B2"/>
    <w:lvl w:ilvl="0" w:tplc="A6F6B22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422D1E"/>
    <w:multiLevelType w:val="hybridMultilevel"/>
    <w:tmpl w:val="04DE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068A0"/>
    <w:multiLevelType w:val="hybridMultilevel"/>
    <w:tmpl w:val="26363FFC"/>
    <w:lvl w:ilvl="0" w:tplc="EB5495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228C6"/>
    <w:multiLevelType w:val="hybridMultilevel"/>
    <w:tmpl w:val="02BC65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5CE5D4F"/>
    <w:multiLevelType w:val="multilevel"/>
    <w:tmpl w:val="7A989EBC"/>
    <w:styleLink w:val="PolicyList"/>
    <w:lvl w:ilvl="0">
      <w:start w:val="1"/>
      <w:numFmt w:val="decimal"/>
      <w:lvlText w:val="%1)"/>
      <w:lvlJc w:val="left"/>
      <w:pPr>
        <w:ind w:left="357" w:hanging="357"/>
      </w:pPr>
      <w:rPr>
        <w:rFonts w:ascii="Calibri" w:hAnsi="Calibri" w:hint="default"/>
        <w:color w:val="4472C4" w:themeColor="accent1"/>
        <w:sz w:val="24"/>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3DF50FB0"/>
    <w:multiLevelType w:val="hybridMultilevel"/>
    <w:tmpl w:val="AE6E65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1505F49"/>
    <w:multiLevelType w:val="hybridMultilevel"/>
    <w:tmpl w:val="966E7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0C17A0"/>
    <w:multiLevelType w:val="hybridMultilevel"/>
    <w:tmpl w:val="76864E8C"/>
    <w:lvl w:ilvl="0" w:tplc="EB5495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01763"/>
    <w:multiLevelType w:val="hybridMultilevel"/>
    <w:tmpl w:val="68B434F2"/>
    <w:lvl w:ilvl="0" w:tplc="953000CA">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1B005C"/>
    <w:multiLevelType w:val="hybridMultilevel"/>
    <w:tmpl w:val="E4A05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D926A78"/>
    <w:multiLevelType w:val="hybridMultilevel"/>
    <w:tmpl w:val="988A551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15E18F9"/>
    <w:multiLevelType w:val="hybridMultilevel"/>
    <w:tmpl w:val="F4760292"/>
    <w:lvl w:ilvl="0" w:tplc="9F9004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E2783C"/>
    <w:multiLevelType w:val="hybridMultilevel"/>
    <w:tmpl w:val="4976C676"/>
    <w:lvl w:ilvl="0" w:tplc="8EF4927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2C7F57"/>
    <w:multiLevelType w:val="hybridMultilevel"/>
    <w:tmpl w:val="24E0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4D42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321E51"/>
    <w:multiLevelType w:val="hybridMultilevel"/>
    <w:tmpl w:val="5D8C3F20"/>
    <w:lvl w:ilvl="0" w:tplc="EB5495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5069A"/>
    <w:multiLevelType w:val="hybridMultilevel"/>
    <w:tmpl w:val="DDF81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F26411"/>
    <w:multiLevelType w:val="hybridMultilevel"/>
    <w:tmpl w:val="4CF81DD8"/>
    <w:lvl w:ilvl="0" w:tplc="8EF4927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358570">
    <w:abstractNumId w:val="5"/>
  </w:num>
  <w:num w:numId="2" w16cid:durableId="129369464">
    <w:abstractNumId w:val="13"/>
  </w:num>
  <w:num w:numId="3" w16cid:durableId="1133866701">
    <w:abstractNumId w:val="9"/>
  </w:num>
  <w:num w:numId="4" w16cid:durableId="1758749384">
    <w:abstractNumId w:val="1"/>
  </w:num>
  <w:num w:numId="5" w16cid:durableId="1125732403">
    <w:abstractNumId w:val="4"/>
  </w:num>
  <w:num w:numId="6" w16cid:durableId="2071070170">
    <w:abstractNumId w:val="5"/>
    <w:lvlOverride w:ilvl="0">
      <w:lvl w:ilvl="0" w:tplc="A6F6B228">
        <w:start w:val="1"/>
        <w:numFmt w:val="decimal"/>
        <w:pStyle w:val="Heading1"/>
        <w:lvlText w:val="%1."/>
        <w:lvlJc w:val="left"/>
        <w:pPr>
          <w:ind w:left="720" w:hanging="360"/>
        </w:pPr>
        <w:rPr>
          <w:rFonts w:hint="default"/>
        </w:rPr>
      </w:lvl>
    </w:lvlOverride>
    <w:lvlOverride w:ilvl="1">
      <w:lvl w:ilvl="1" w:tplc="08090019">
        <w:start w:val="1"/>
        <w:numFmt w:val="none"/>
        <w:lvlText w:val="4.1"/>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7" w16cid:durableId="1695031963">
    <w:abstractNumId w:val="15"/>
  </w:num>
  <w:num w:numId="8" w16cid:durableId="2095734507">
    <w:abstractNumId w:val="16"/>
  </w:num>
  <w:num w:numId="9" w16cid:durableId="625431876">
    <w:abstractNumId w:val="5"/>
    <w:lvlOverride w:ilvl="0">
      <w:startOverride w:val="1"/>
    </w:lvlOverride>
  </w:num>
  <w:num w:numId="10" w16cid:durableId="1101145536">
    <w:abstractNumId w:val="2"/>
  </w:num>
  <w:num w:numId="11" w16cid:durableId="1094548464">
    <w:abstractNumId w:val="19"/>
  </w:num>
  <w:num w:numId="12" w16cid:durableId="162403557">
    <w:abstractNumId w:val="0"/>
  </w:num>
  <w:num w:numId="13" w16cid:durableId="1106656323">
    <w:abstractNumId w:val="6"/>
  </w:num>
  <w:num w:numId="14" w16cid:durableId="182138500">
    <w:abstractNumId w:val="3"/>
  </w:num>
  <w:num w:numId="15" w16cid:durableId="1427575068">
    <w:abstractNumId w:val="17"/>
  </w:num>
  <w:num w:numId="16" w16cid:durableId="1443528558">
    <w:abstractNumId w:val="10"/>
  </w:num>
  <w:num w:numId="17" w16cid:durableId="1280185370">
    <w:abstractNumId w:val="21"/>
  </w:num>
  <w:num w:numId="18" w16cid:durableId="1638215679">
    <w:abstractNumId w:val="11"/>
  </w:num>
  <w:num w:numId="19" w16cid:durableId="1187711674">
    <w:abstractNumId w:val="22"/>
  </w:num>
  <w:num w:numId="20" w16cid:durableId="571352418">
    <w:abstractNumId w:val="12"/>
  </w:num>
  <w:num w:numId="21" w16cid:durableId="2132900101">
    <w:abstractNumId w:val="20"/>
  </w:num>
  <w:num w:numId="22" w16cid:durableId="1931305313">
    <w:abstractNumId w:val="7"/>
  </w:num>
  <w:num w:numId="23" w16cid:durableId="1299844402">
    <w:abstractNumId w:val="18"/>
  </w:num>
  <w:num w:numId="24" w16cid:durableId="548687662">
    <w:abstractNumId w:val="14"/>
  </w:num>
  <w:num w:numId="25" w16cid:durableId="9436106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DF"/>
    <w:rsid w:val="000020ED"/>
    <w:rsid w:val="00057CDD"/>
    <w:rsid w:val="0006748F"/>
    <w:rsid w:val="00071358"/>
    <w:rsid w:val="00091639"/>
    <w:rsid w:val="001010D6"/>
    <w:rsid w:val="001B1CF5"/>
    <w:rsid w:val="001D0BAE"/>
    <w:rsid w:val="001F6527"/>
    <w:rsid w:val="00226336"/>
    <w:rsid w:val="0024178A"/>
    <w:rsid w:val="002C39C9"/>
    <w:rsid w:val="00373D9B"/>
    <w:rsid w:val="00376BF4"/>
    <w:rsid w:val="00396DB8"/>
    <w:rsid w:val="003A3E7F"/>
    <w:rsid w:val="003D6FBD"/>
    <w:rsid w:val="00452FE5"/>
    <w:rsid w:val="00485DA3"/>
    <w:rsid w:val="005572DD"/>
    <w:rsid w:val="005930CE"/>
    <w:rsid w:val="005B05DF"/>
    <w:rsid w:val="005C5E14"/>
    <w:rsid w:val="005E4BEF"/>
    <w:rsid w:val="005E7449"/>
    <w:rsid w:val="00630CEA"/>
    <w:rsid w:val="006A69E6"/>
    <w:rsid w:val="006D23D6"/>
    <w:rsid w:val="00707B23"/>
    <w:rsid w:val="007659FC"/>
    <w:rsid w:val="00776DC9"/>
    <w:rsid w:val="007844F0"/>
    <w:rsid w:val="0081001E"/>
    <w:rsid w:val="0084084C"/>
    <w:rsid w:val="008571CD"/>
    <w:rsid w:val="00953651"/>
    <w:rsid w:val="00980BD4"/>
    <w:rsid w:val="0098136D"/>
    <w:rsid w:val="0098529D"/>
    <w:rsid w:val="00990863"/>
    <w:rsid w:val="00994515"/>
    <w:rsid w:val="0099560A"/>
    <w:rsid w:val="00A039C5"/>
    <w:rsid w:val="00A0648E"/>
    <w:rsid w:val="00A07536"/>
    <w:rsid w:val="00A308BD"/>
    <w:rsid w:val="00A30B27"/>
    <w:rsid w:val="00A55B0B"/>
    <w:rsid w:val="00A9478C"/>
    <w:rsid w:val="00AE26FF"/>
    <w:rsid w:val="00B02D52"/>
    <w:rsid w:val="00B4319C"/>
    <w:rsid w:val="00BB1AC2"/>
    <w:rsid w:val="00C13618"/>
    <w:rsid w:val="00C1423A"/>
    <w:rsid w:val="00C2177E"/>
    <w:rsid w:val="00C633F0"/>
    <w:rsid w:val="00C65490"/>
    <w:rsid w:val="00CE1D75"/>
    <w:rsid w:val="00D84F6A"/>
    <w:rsid w:val="00DD15F6"/>
    <w:rsid w:val="00DD3075"/>
    <w:rsid w:val="00DE0E08"/>
    <w:rsid w:val="00E62305"/>
    <w:rsid w:val="00EB5AFA"/>
    <w:rsid w:val="00F01663"/>
    <w:rsid w:val="00F80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24A67"/>
  <w15:chartTrackingRefBased/>
  <w15:docId w15:val="{F81763F2-2E47-48DE-B5F5-D137DE5E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78A"/>
    <w:pPr>
      <w:spacing w:after="200" w:line="276" w:lineRule="auto"/>
    </w:pPr>
    <w:rPr>
      <w:lang w:eastAsia="en-US"/>
    </w:rPr>
  </w:style>
  <w:style w:type="paragraph" w:styleId="Heading1">
    <w:name w:val="heading 1"/>
    <w:basedOn w:val="Normal"/>
    <w:next w:val="Normal"/>
    <w:link w:val="Heading1Char"/>
    <w:uiPriority w:val="9"/>
    <w:qFormat/>
    <w:rsid w:val="0024178A"/>
    <w:pPr>
      <w:keepNext/>
      <w:keepLines/>
      <w:numPr>
        <w:numId w:val="1"/>
      </w:numPr>
      <w:spacing w:before="240" w:after="0"/>
      <w:ind w:left="360"/>
      <w:outlineLvl w:val="0"/>
    </w:pPr>
    <w:rPr>
      <w:rFonts w:asciiTheme="majorHAnsi" w:eastAsiaTheme="majorEastAsia" w:hAnsiTheme="majorHAnsi" w:cstheme="majorBidi"/>
      <w:color w:val="2F5496" w:themeColor="accent1" w:themeShade="BF"/>
      <w:sz w:val="24"/>
      <w:szCs w:val="32"/>
    </w:rPr>
  </w:style>
  <w:style w:type="paragraph" w:styleId="Heading2">
    <w:name w:val="heading 2"/>
    <w:basedOn w:val="Normal"/>
    <w:next w:val="Normal"/>
    <w:link w:val="Heading2Char"/>
    <w:autoRedefine/>
    <w:uiPriority w:val="9"/>
    <w:unhideWhenUsed/>
    <w:qFormat/>
    <w:rsid w:val="0024178A"/>
    <w:pPr>
      <w:keepNext/>
      <w:keepLines/>
      <w:numPr>
        <w:numId w:val="2"/>
      </w:numPr>
      <w:spacing w:before="40" w:after="0"/>
      <w:outlineLvl w:val="1"/>
    </w:pPr>
    <w:rPr>
      <w:rFonts w:asciiTheme="majorHAnsi" w:eastAsiaTheme="majorEastAsia" w:hAnsiTheme="majorHAnsi" w:cstheme="majorBid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5DF"/>
    <w:pPr>
      <w:tabs>
        <w:tab w:val="center" w:pos="4513"/>
        <w:tab w:val="right" w:pos="9026"/>
      </w:tabs>
      <w:spacing w:after="0" w:line="240" w:lineRule="auto"/>
    </w:pPr>
    <w:rPr>
      <w:lang w:eastAsia="en-GB"/>
    </w:rPr>
  </w:style>
  <w:style w:type="character" w:customStyle="1" w:styleId="HeaderChar">
    <w:name w:val="Header Char"/>
    <w:basedOn w:val="DefaultParagraphFont"/>
    <w:link w:val="Header"/>
    <w:uiPriority w:val="99"/>
    <w:rsid w:val="005B05DF"/>
  </w:style>
  <w:style w:type="paragraph" w:styleId="Footer">
    <w:name w:val="footer"/>
    <w:basedOn w:val="Normal"/>
    <w:link w:val="FooterChar"/>
    <w:uiPriority w:val="99"/>
    <w:unhideWhenUsed/>
    <w:rsid w:val="005B05DF"/>
    <w:pPr>
      <w:tabs>
        <w:tab w:val="center" w:pos="4513"/>
        <w:tab w:val="right" w:pos="9026"/>
      </w:tabs>
      <w:spacing w:after="0" w:line="240" w:lineRule="auto"/>
    </w:pPr>
    <w:rPr>
      <w:lang w:eastAsia="en-GB"/>
    </w:rPr>
  </w:style>
  <w:style w:type="character" w:customStyle="1" w:styleId="FooterChar">
    <w:name w:val="Footer Char"/>
    <w:basedOn w:val="DefaultParagraphFont"/>
    <w:link w:val="Footer"/>
    <w:uiPriority w:val="99"/>
    <w:rsid w:val="005B05DF"/>
  </w:style>
  <w:style w:type="table" w:styleId="TableGrid">
    <w:name w:val="Table Grid"/>
    <w:basedOn w:val="TableNormal"/>
    <w:uiPriority w:val="59"/>
    <w:rsid w:val="005B05D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178A"/>
    <w:rPr>
      <w:rFonts w:asciiTheme="majorHAnsi" w:eastAsiaTheme="majorEastAsia" w:hAnsiTheme="majorHAnsi" w:cstheme="majorBidi"/>
      <w:color w:val="2F5496" w:themeColor="accent1" w:themeShade="BF"/>
      <w:sz w:val="24"/>
      <w:szCs w:val="32"/>
      <w:lang w:eastAsia="en-US"/>
    </w:rPr>
  </w:style>
  <w:style w:type="paragraph" w:styleId="TOCHeading">
    <w:name w:val="TOC Heading"/>
    <w:basedOn w:val="Heading1"/>
    <w:next w:val="Normal"/>
    <w:uiPriority w:val="39"/>
    <w:unhideWhenUsed/>
    <w:qFormat/>
    <w:rsid w:val="005B05DF"/>
    <w:pPr>
      <w:spacing w:line="259" w:lineRule="auto"/>
      <w:outlineLvl w:val="9"/>
    </w:pPr>
    <w:rPr>
      <w:lang w:val="en-US"/>
    </w:rPr>
  </w:style>
  <w:style w:type="character" w:customStyle="1" w:styleId="Heading2Char">
    <w:name w:val="Heading 2 Char"/>
    <w:basedOn w:val="DefaultParagraphFont"/>
    <w:link w:val="Heading2"/>
    <w:uiPriority w:val="9"/>
    <w:rsid w:val="0024178A"/>
    <w:rPr>
      <w:rFonts w:asciiTheme="majorHAnsi" w:eastAsiaTheme="majorEastAsia" w:hAnsiTheme="majorHAnsi" w:cstheme="majorBidi"/>
      <w:color w:val="2F5496" w:themeColor="accent1" w:themeShade="BF"/>
      <w:sz w:val="24"/>
      <w:szCs w:val="26"/>
      <w:lang w:eastAsia="en-US"/>
    </w:rPr>
  </w:style>
  <w:style w:type="paragraph" w:customStyle="1" w:styleId="HeadlingPlain">
    <w:name w:val="Headling Plain"/>
    <w:basedOn w:val="Heading1"/>
    <w:link w:val="HeadlingPlainChar"/>
    <w:qFormat/>
    <w:rsid w:val="007844F0"/>
    <w:pPr>
      <w:numPr>
        <w:numId w:val="0"/>
      </w:numPr>
      <w:spacing w:before="360" w:after="120"/>
    </w:pPr>
    <w:rPr>
      <w:rFonts w:cstheme="minorHAnsi"/>
    </w:rPr>
  </w:style>
  <w:style w:type="paragraph" w:customStyle="1" w:styleId="IndentNormal">
    <w:name w:val="Indent Normal"/>
    <w:basedOn w:val="Normal"/>
    <w:link w:val="IndentNormalChar"/>
    <w:qFormat/>
    <w:rsid w:val="0024178A"/>
    <w:pPr>
      <w:spacing w:after="80"/>
      <w:ind w:left="720"/>
    </w:pPr>
  </w:style>
  <w:style w:type="character" w:customStyle="1" w:styleId="HeadlingPlainChar">
    <w:name w:val="Headling Plain Char"/>
    <w:basedOn w:val="Heading1Char"/>
    <w:link w:val="HeadlingPlain"/>
    <w:rsid w:val="007844F0"/>
    <w:rPr>
      <w:rFonts w:asciiTheme="majorHAnsi" w:eastAsiaTheme="majorEastAsia" w:hAnsiTheme="majorHAnsi" w:cstheme="minorHAnsi"/>
      <w:color w:val="2F5496" w:themeColor="accent1" w:themeShade="BF"/>
      <w:sz w:val="24"/>
      <w:szCs w:val="32"/>
      <w:lang w:eastAsia="en-US"/>
    </w:rPr>
  </w:style>
  <w:style w:type="numbering" w:customStyle="1" w:styleId="PolicyList">
    <w:name w:val="Policy List"/>
    <w:uiPriority w:val="99"/>
    <w:rsid w:val="00376BF4"/>
    <w:pPr>
      <w:numPr>
        <w:numId w:val="3"/>
      </w:numPr>
    </w:pPr>
  </w:style>
  <w:style w:type="character" w:customStyle="1" w:styleId="IndentNormalChar">
    <w:name w:val="Indent Normal Char"/>
    <w:basedOn w:val="DefaultParagraphFont"/>
    <w:link w:val="IndentNormal"/>
    <w:rsid w:val="0024178A"/>
    <w:rPr>
      <w:lang w:eastAsia="en-US"/>
    </w:rPr>
  </w:style>
  <w:style w:type="paragraph" w:styleId="TOC1">
    <w:name w:val="toc 1"/>
    <w:basedOn w:val="Normal"/>
    <w:next w:val="Normal"/>
    <w:autoRedefine/>
    <w:uiPriority w:val="39"/>
    <w:unhideWhenUsed/>
    <w:rsid w:val="00C633F0"/>
    <w:pPr>
      <w:spacing w:after="100"/>
    </w:pPr>
  </w:style>
  <w:style w:type="paragraph" w:styleId="TOC2">
    <w:name w:val="toc 2"/>
    <w:basedOn w:val="Normal"/>
    <w:next w:val="Normal"/>
    <w:autoRedefine/>
    <w:uiPriority w:val="39"/>
    <w:unhideWhenUsed/>
    <w:rsid w:val="00C633F0"/>
    <w:pPr>
      <w:spacing w:after="100"/>
      <w:ind w:left="240"/>
    </w:pPr>
  </w:style>
  <w:style w:type="character" w:styleId="Hyperlink">
    <w:name w:val="Hyperlink"/>
    <w:basedOn w:val="DefaultParagraphFont"/>
    <w:uiPriority w:val="99"/>
    <w:unhideWhenUsed/>
    <w:rsid w:val="00C633F0"/>
    <w:rPr>
      <w:color w:val="0563C1" w:themeColor="hyperlink"/>
      <w:u w:val="single"/>
    </w:rPr>
  </w:style>
  <w:style w:type="paragraph" w:styleId="ListParagraph">
    <w:name w:val="List Paragraph"/>
    <w:basedOn w:val="Normal"/>
    <w:uiPriority w:val="34"/>
    <w:qFormat/>
    <w:rsid w:val="008571CD"/>
    <w:pPr>
      <w:ind w:left="720"/>
      <w:contextualSpacing/>
    </w:pPr>
  </w:style>
  <w:style w:type="character" w:styleId="UnresolvedMention">
    <w:name w:val="Unresolved Mention"/>
    <w:basedOn w:val="DefaultParagraphFont"/>
    <w:uiPriority w:val="99"/>
    <w:semiHidden/>
    <w:unhideWhenUsed/>
    <w:rsid w:val="0006748F"/>
    <w:rPr>
      <w:color w:val="605E5C"/>
      <w:shd w:val="clear" w:color="auto" w:fill="E1DFDD"/>
    </w:rPr>
  </w:style>
  <w:style w:type="paragraph" w:styleId="NoSpacing">
    <w:name w:val="No Spacing"/>
    <w:uiPriority w:val="1"/>
    <w:qFormat/>
    <w:rsid w:val="001F6527"/>
    <w:pPr>
      <w:spacing w:after="0" w:line="240" w:lineRule="auto"/>
      <w:ind w:left="720"/>
    </w:pPr>
    <w:rPr>
      <w:lang w:eastAsia="en-US"/>
    </w:rPr>
  </w:style>
  <w:style w:type="character" w:styleId="FollowedHyperlink">
    <w:name w:val="FollowedHyperlink"/>
    <w:basedOn w:val="DefaultParagraphFont"/>
    <w:uiPriority w:val="99"/>
    <w:semiHidden/>
    <w:unhideWhenUsed/>
    <w:rsid w:val="00A039C5"/>
    <w:rPr>
      <w:color w:val="954F72" w:themeColor="followedHyperlink"/>
      <w:u w:val="single"/>
    </w:rPr>
  </w:style>
  <w:style w:type="paragraph" w:styleId="FootnoteText">
    <w:name w:val="footnote text"/>
    <w:basedOn w:val="Normal"/>
    <w:link w:val="FootnoteTextChar"/>
    <w:uiPriority w:val="99"/>
    <w:semiHidden/>
    <w:unhideWhenUsed/>
    <w:rsid w:val="005930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30CE"/>
    <w:rPr>
      <w:sz w:val="20"/>
      <w:szCs w:val="20"/>
      <w:lang w:eastAsia="en-US"/>
    </w:rPr>
  </w:style>
  <w:style w:type="character" w:styleId="FootnoteReference">
    <w:name w:val="footnote reference"/>
    <w:basedOn w:val="DefaultParagraphFont"/>
    <w:uiPriority w:val="99"/>
    <w:semiHidden/>
    <w:unhideWhenUsed/>
    <w:rsid w:val="005930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21" Type="http://schemas.openxmlformats.org/officeDocument/2006/relationships/hyperlink" Target="mailto:prevent@northyorkshire.police.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gov.uk/ukpga/2015/6/contents/enacted" TargetMode="External"/><Relationship Id="rId2" Type="http://schemas.openxmlformats.org/officeDocument/2006/relationships/customXml" Target="../customXml/item2.xml"/><Relationship Id="rId16" Type="http://schemas.openxmlformats.org/officeDocument/2006/relationships/hyperlink" Target="https://www.gov.uk/government/publications/prevent-duty-guidance/revised-prevent-duty-guidance-for-england-and-wales" TargetMode="External"/><Relationship Id="rId20" Type="http://schemas.openxmlformats.org/officeDocument/2006/relationships/hyperlink" Target="https://assets.publishing.service.gov.uk/government/uploads/system/uploads/attachment_data/file/380595/SMSC_Guidance_Maintained_School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ukpga/2015/6/contents/enact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working-together-to-safeguard-children--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event-duty-guidance/revised-prevent-duty-guidance-for-england-and-wales"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prevent-duty-train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D045E17D0A4E46A801F6F3CDE42730" ma:contentTypeVersion="8" ma:contentTypeDescription="Create a new document." ma:contentTypeScope="" ma:versionID="521519476335bda75327bc17e9c01269">
  <xsd:schema xmlns:xsd="http://www.w3.org/2001/XMLSchema" xmlns:xs="http://www.w3.org/2001/XMLSchema" xmlns:p="http://schemas.microsoft.com/office/2006/metadata/properties" xmlns:ns2="2068da7f-cdd5-4644-bca0-d5bea0d192e2" xmlns:ns3="8db9a058-185c-448b-b7d9-47c3dc0aee22" targetNamespace="http://schemas.microsoft.com/office/2006/metadata/properties" ma:root="true" ma:fieldsID="2d9373166f14e9f18502ea14e93fb030" ns2:_="" ns3:_="">
    <xsd:import namespace="2068da7f-cdd5-4644-bca0-d5bea0d192e2"/>
    <xsd:import namespace="8db9a058-185c-448b-b7d9-47c3dc0aee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8da7f-cdd5-4644-bca0-d5bea0d19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9a058-185c-448b-b7d9-47c3dc0ae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3517B-8871-41D8-A1A1-A131735B1F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E5C57B-0029-4F3F-AB63-68B50F975DFB}">
  <ds:schemaRefs>
    <ds:schemaRef ds:uri="http://schemas.openxmlformats.org/officeDocument/2006/bibliography"/>
  </ds:schemaRefs>
</ds:datastoreItem>
</file>

<file path=customXml/itemProps3.xml><?xml version="1.0" encoding="utf-8"?>
<ds:datastoreItem xmlns:ds="http://schemas.openxmlformats.org/officeDocument/2006/customXml" ds:itemID="{9CDF5A91-6501-486E-BDF4-B64FAD7B5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8da7f-cdd5-4644-bca0-d5bea0d192e2"/>
    <ds:schemaRef ds:uri="8db9a058-185c-448b-b7d9-47c3dc0ae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9BDA8-E926-4BB1-80E5-7A4C2848DC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Claringbold</dc:creator>
  <cp:keywords/>
  <dc:description/>
  <cp:lastModifiedBy>Andrew Symonds</cp:lastModifiedBy>
  <cp:revision>4</cp:revision>
  <cp:lastPrinted>2024-01-12T12:03:00Z</cp:lastPrinted>
  <dcterms:created xsi:type="dcterms:W3CDTF">2024-10-20T07:18:00Z</dcterms:created>
  <dcterms:modified xsi:type="dcterms:W3CDTF">2024-10-20T07:20:00Z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0x01010084D045E17D0A4E46A801F6F3CDE42730</vt:lpwstr>
  </property>
</Properties>
</file>